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97" w:rsidRDefault="00A96297" w:rsidP="00192D79">
      <w:pPr>
        <w:shd w:val="clear" w:color="auto" w:fill="9EC5DD"/>
        <w:spacing w:before="100" w:beforeAutospacing="1" w:after="100" w:afterAutospacing="1" w:line="240" w:lineRule="auto"/>
        <w:ind w:right="150"/>
        <w:jc w:val="right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A962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1FA348" wp14:editId="4EC7ED94">
            <wp:simplePos x="0" y="0"/>
            <wp:positionH relativeFrom="column">
              <wp:posOffset>2341245</wp:posOffset>
            </wp:positionH>
            <wp:positionV relativeFrom="paragraph">
              <wp:posOffset>-544830</wp:posOffset>
            </wp:positionV>
            <wp:extent cx="125730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297" w:rsidRPr="00A96297" w:rsidRDefault="00A96297" w:rsidP="00192D79">
      <w:pPr>
        <w:numPr>
          <w:ilvl w:val="0"/>
          <w:numId w:val="1"/>
        </w:numPr>
        <w:shd w:val="clear" w:color="auto" w:fill="9EC5DD"/>
        <w:spacing w:before="100" w:beforeAutospacing="1" w:after="100" w:afterAutospacing="1" w:line="240" w:lineRule="auto"/>
        <w:ind w:right="150"/>
        <w:jc w:val="right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</w:p>
    <w:p w:rsidR="00A96297" w:rsidRPr="00A96297" w:rsidRDefault="00A96297" w:rsidP="00192D79">
      <w:pPr>
        <w:numPr>
          <w:ilvl w:val="0"/>
          <w:numId w:val="1"/>
        </w:numPr>
        <w:shd w:val="clear" w:color="auto" w:fill="9EC5DD"/>
        <w:spacing w:before="100" w:beforeAutospacing="1" w:after="100" w:afterAutospacing="1" w:line="240" w:lineRule="auto"/>
        <w:ind w:right="150"/>
        <w:jc w:val="right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</w:p>
    <w:p w:rsidR="00A96297" w:rsidRPr="00A96297" w:rsidRDefault="00A96297" w:rsidP="00192D79">
      <w:pPr>
        <w:numPr>
          <w:ilvl w:val="0"/>
          <w:numId w:val="1"/>
        </w:numPr>
        <w:shd w:val="clear" w:color="auto" w:fill="9EC5DD"/>
        <w:spacing w:before="100" w:beforeAutospacing="1" w:after="100" w:afterAutospacing="1" w:line="240" w:lineRule="auto"/>
        <w:ind w:right="150"/>
        <w:jc w:val="right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</w:p>
    <w:p w:rsidR="00A96297" w:rsidRPr="00A96297" w:rsidRDefault="00A96297" w:rsidP="00192D79">
      <w:pPr>
        <w:numPr>
          <w:ilvl w:val="0"/>
          <w:numId w:val="1"/>
        </w:numPr>
        <w:shd w:val="clear" w:color="auto" w:fill="9EC5DD"/>
        <w:spacing w:before="100" w:beforeAutospacing="1" w:after="100" w:afterAutospacing="1" w:line="240" w:lineRule="auto"/>
        <w:ind w:right="150"/>
        <w:jc w:val="right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</w:p>
    <w:p w:rsidR="00A96297" w:rsidRPr="00A96297" w:rsidRDefault="00A96297" w:rsidP="00192D79">
      <w:pPr>
        <w:numPr>
          <w:ilvl w:val="0"/>
          <w:numId w:val="1"/>
        </w:numPr>
        <w:shd w:val="clear" w:color="auto" w:fill="9EC5DD"/>
        <w:spacing w:before="100" w:beforeAutospacing="1" w:after="100" w:afterAutospacing="1" w:line="240" w:lineRule="auto"/>
        <w:ind w:right="150"/>
        <w:jc w:val="right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</w:p>
    <w:p w:rsidR="00192D79" w:rsidRPr="00192D79" w:rsidRDefault="00192D79" w:rsidP="00192D79">
      <w:pPr>
        <w:numPr>
          <w:ilvl w:val="0"/>
          <w:numId w:val="1"/>
        </w:numPr>
        <w:shd w:val="clear" w:color="auto" w:fill="9EC5DD"/>
        <w:spacing w:before="100" w:beforeAutospacing="1" w:after="100" w:afterAutospacing="1" w:line="240" w:lineRule="auto"/>
        <w:ind w:right="150"/>
        <w:jc w:val="right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  <w:hyperlink r:id="rId9" w:history="1">
        <w:r w:rsidRPr="00192D79">
          <w:rPr>
            <w:rFonts w:ascii="Arial" w:eastAsia="Times New Roman" w:hAnsi="Arial" w:cs="Arial"/>
            <w:vanish/>
            <w:color w:val="435D6B"/>
            <w:sz w:val="34"/>
            <w:szCs w:val="34"/>
            <w:lang w:eastAsia="ru-RU"/>
          </w:rPr>
          <w:t>A</w:t>
        </w:r>
      </w:hyperlink>
    </w:p>
    <w:p w:rsidR="00192D79" w:rsidRPr="00192D79" w:rsidRDefault="0024444A" w:rsidP="00192D79">
      <w:pPr>
        <w:numPr>
          <w:ilvl w:val="0"/>
          <w:numId w:val="1"/>
        </w:numPr>
        <w:shd w:val="clear" w:color="auto" w:fill="9EC5DD"/>
        <w:spacing w:before="100" w:beforeAutospacing="1" w:after="100" w:afterAutospacing="1" w:line="240" w:lineRule="auto"/>
        <w:ind w:right="150"/>
        <w:jc w:val="right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  <w:hyperlink r:id="rId10" w:history="1">
        <w:r w:rsidR="00192D79" w:rsidRPr="00192D79">
          <w:rPr>
            <w:rFonts w:ascii="Arial" w:eastAsia="Times New Roman" w:hAnsi="Arial" w:cs="Arial"/>
            <w:vanish/>
            <w:color w:val="435D6B"/>
            <w:sz w:val="34"/>
            <w:szCs w:val="34"/>
            <w:lang w:eastAsia="ru-RU"/>
          </w:rPr>
          <w:t>AA</w:t>
        </w:r>
      </w:hyperlink>
    </w:p>
    <w:p w:rsidR="00192D79" w:rsidRPr="00192D79" w:rsidRDefault="0024444A" w:rsidP="00192D79">
      <w:pPr>
        <w:numPr>
          <w:ilvl w:val="0"/>
          <w:numId w:val="1"/>
        </w:numPr>
        <w:shd w:val="clear" w:color="auto" w:fill="9EC5DD"/>
        <w:spacing w:before="100" w:beforeAutospacing="1" w:after="100" w:afterAutospacing="1" w:line="240" w:lineRule="auto"/>
        <w:ind w:right="150"/>
        <w:jc w:val="right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  <w:hyperlink r:id="rId11" w:history="1">
        <w:r w:rsidR="00192D79" w:rsidRPr="00192D79">
          <w:rPr>
            <w:rFonts w:ascii="Arial" w:eastAsia="Times New Roman" w:hAnsi="Arial" w:cs="Arial"/>
            <w:vanish/>
            <w:color w:val="435D6B"/>
            <w:sz w:val="34"/>
            <w:szCs w:val="34"/>
            <w:lang w:eastAsia="ru-RU"/>
          </w:rPr>
          <w:t>AAA</w:t>
        </w:r>
      </w:hyperlink>
    </w:p>
    <w:p w:rsidR="00192D79" w:rsidRPr="00192D79" w:rsidRDefault="0024444A" w:rsidP="00192D79">
      <w:pPr>
        <w:numPr>
          <w:ilvl w:val="0"/>
          <w:numId w:val="1"/>
        </w:numPr>
        <w:shd w:val="clear" w:color="auto" w:fill="9EC5DD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  <w:hyperlink r:id="rId12" w:history="1">
        <w:r w:rsidR="00192D79" w:rsidRPr="00192D79">
          <w:rPr>
            <w:rFonts w:ascii="Arial" w:eastAsia="Times New Roman" w:hAnsi="Arial" w:cs="Arial"/>
            <w:vanish/>
            <w:color w:val="435D6B"/>
            <w:sz w:val="34"/>
            <w:szCs w:val="34"/>
            <w:lang w:eastAsia="ru-RU"/>
          </w:rPr>
          <w:t>Перейти на версию для слабовидящих</w:t>
        </w:r>
      </w:hyperlink>
    </w:p>
    <w:p w:rsidR="00192D79" w:rsidRPr="00192D79" w:rsidRDefault="0024444A" w:rsidP="00192D79">
      <w:pPr>
        <w:numPr>
          <w:ilvl w:val="0"/>
          <w:numId w:val="1"/>
        </w:numPr>
        <w:shd w:val="clear" w:color="auto" w:fill="9EC5DD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  <w:hyperlink r:id="rId13" w:history="1">
        <w:r w:rsidR="00192D79" w:rsidRPr="00192D79">
          <w:rPr>
            <w:rFonts w:ascii="Arial" w:eastAsia="Times New Roman" w:hAnsi="Arial" w:cs="Arial"/>
            <w:vanish/>
            <w:color w:val="435D6B"/>
            <w:sz w:val="34"/>
            <w:szCs w:val="34"/>
            <w:lang w:eastAsia="ru-RU"/>
          </w:rPr>
          <w:t>Перейти на обычную версию</w:t>
        </w:r>
      </w:hyperlink>
    </w:p>
    <w:p w:rsidR="00A96297" w:rsidRDefault="00A96297" w:rsidP="00C0590C">
      <w:pPr>
        <w:shd w:val="clear" w:color="auto" w:fill="EEEEEE"/>
        <w:spacing w:before="100" w:beforeAutospacing="1" w:after="100" w:afterAutospacing="1" w:line="240" w:lineRule="auto"/>
        <w:jc w:val="center"/>
      </w:pPr>
    </w:p>
    <w:p w:rsidR="00192D79" w:rsidRPr="00192D79" w:rsidRDefault="00A96297" w:rsidP="00C0590C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t>А</w:t>
      </w:r>
      <w:r w:rsidR="00192D79"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ДМИНИСТРАЦИИЯ</w:t>
      </w:r>
    </w:p>
    <w:p w:rsidR="00192D79" w:rsidRPr="00192D79" w:rsidRDefault="00C0590C" w:rsidP="00C0590C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ШУМАКОВСКОГО</w:t>
      </w:r>
      <w:r w:rsidR="00192D79"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192D79" w:rsidRPr="00192D79" w:rsidRDefault="00192D79" w:rsidP="00C0590C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2D79" w:rsidRPr="00192D79" w:rsidRDefault="00192D79" w:rsidP="00A96297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A96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21.04.2020 г. № 43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«Об организации и осуществлении первичного воинского учета граждан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на территории администрации </w:t>
      </w:r>
      <w:r w:rsidR="00C059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Шумаковского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сельсовета Солнцевского района Курской области.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Конституцией Российской Федерации, федеральными законами   от 31 мая 1996г. № 61- ФЗ «Об обороне», от 28 марта 1998г. № 53- ФЗ «О воинской обязанности и воинской службе», от 26 февраля 1997г. № 31- ФЗ «О мобилизационной подготовке и мобилизации в Российской Федерации», 2003г. № 131-ФЗ «Об общих принципах местного самоуправления в Российской Федерации» и постановлением Правительства Российской Федерации от 27 ноября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2006г. № 719 «Об утверждении Положения о воинском учете» , Устава муниципального образования «</w:t>
      </w:r>
      <w:r w:rsidR="00C059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Шумаковский 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Солнцевского района Администрация </w:t>
      </w:r>
      <w:r w:rsidR="00C059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Шумаковского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остановляет: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1.Утвердить Положение «Об организации и осуществлении первичного воинского учета на территории администрации </w:t>
      </w:r>
      <w:r w:rsidR="00C059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Шумаковского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(Приложение №1)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2.Утвердить Должностные инструкции начальника военно-учетного стола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.(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№2)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3.  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распоряжения </w:t>
      </w:r>
      <w:r w:rsidR="00C059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оставляю за собой.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4.Постановление вступает в силу со дня его подписания и распространяется на 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правоотношения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возникшие с 1 января 2020г.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r w:rsidR="00C059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Шумаковского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 </w:t>
      </w:r>
      <w:r w:rsidR="00C059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И.Н.Горностаева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F0206" w:rsidRDefault="008F0206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F0206" w:rsidRDefault="008F0206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F0206" w:rsidRDefault="008F0206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F0206" w:rsidRDefault="008F0206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F0206" w:rsidRPr="00192D79" w:rsidRDefault="008F0206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92D79" w:rsidRPr="00192D79" w:rsidRDefault="00192D79" w:rsidP="00C0590C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 №1</w:t>
      </w:r>
    </w:p>
    <w:p w:rsidR="00192D79" w:rsidRPr="00192D79" w:rsidRDefault="00C0590C" w:rsidP="00C0590C">
      <w:pPr>
        <w:shd w:val="clear" w:color="auto" w:fill="EEEEEE"/>
        <w:tabs>
          <w:tab w:val="left" w:pos="5136"/>
          <w:tab w:val="right" w:pos="9355"/>
        </w:tabs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proofErr w:type="spellStart"/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</w:t>
      </w:r>
      <w:r w:rsidR="00192D79" w:rsidRPr="00192D7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постановлению</w:t>
      </w:r>
      <w:proofErr w:type="spellEnd"/>
      <w:r w:rsidR="00192D79" w:rsidRPr="00192D7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 администрации</w:t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C0590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Шумаковского</w:t>
      </w:r>
      <w:r w:rsidR="00192D79" w:rsidRPr="00192D7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сельсовета  Солнцевского района № </w:t>
      </w:r>
      <w:r w:rsidR="00A962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43 от 21.04.2020 г.</w:t>
      </w:r>
    </w:p>
    <w:p w:rsidR="00192D79" w:rsidRPr="00192D79" w:rsidRDefault="00192D79" w:rsidP="00C0590C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:rsidR="00192D79" w:rsidRPr="00192D79" w:rsidRDefault="00192D79" w:rsidP="00C0590C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военно-учетном столе Администрации </w:t>
      </w:r>
      <w:r w:rsidR="00C059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Шумаковского</w:t>
      </w: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Солнцевского района Курской области</w:t>
      </w:r>
    </w:p>
    <w:p w:rsidR="00192D79" w:rsidRPr="00192D79" w:rsidRDefault="00192D79" w:rsidP="00C0590C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I. ОБЩИЕ ПОЛОЖЕНИЯ</w:t>
      </w:r>
    </w:p>
    <w:p w:rsidR="00C0590C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 Военно-учетный стол </w:t>
      </w:r>
      <w:r w:rsidRPr="00192D79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 xml:space="preserve">Администрации </w:t>
      </w:r>
      <w:r w:rsidR="00C0590C" w:rsidRPr="00C0590C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>Шумаковского</w:t>
      </w:r>
      <w:r w:rsidRPr="00192D79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 xml:space="preserve"> сельсовета Солнцевского района Курской област</w:t>
      </w:r>
      <w:proofErr w:type="gramStart"/>
      <w:r w:rsidRPr="00192D79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>и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далее </w:t>
      </w:r>
      <w:r w:rsidRPr="00192D79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 xml:space="preserve">- 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ВУС</w:t>
      </w:r>
      <w:r w:rsidRPr="00192D79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>)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является структурным подразделением администрации  </w:t>
      </w:r>
      <w:r w:rsidR="00C0590C" w:rsidRPr="00C059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Шумаковского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Солнцевского района Курской области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 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№31-ФЗ 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 мобилизационной подготовке и мобилизации в Российской Федерации»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28 марта 1998 г. №53-ФЗ «О воинской обязанности и военной службе», «Положением о воинском учете», утвержденным Постановлением Правительства Российской Федерации от 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27ноября  2006 г. № 719, «Инструкцией по бронированию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период м</w:t>
      </w:r>
      <w:r w:rsidR="00C059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обилизации и на военное время»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 Положение о ВУС утверждается руководителем органа местного самоуправления.</w:t>
      </w:r>
    </w:p>
    <w:p w:rsidR="00C0590C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ОСНОВНЫЕ ЗАДАЧИ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2.1. Основными задачами ВУС являются: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C0590C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документальное оформление сведений воинского 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учета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гражданах состоящих на воинском учете;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 ФУНКЦИИ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пребывания, на их территории;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Воинский учет граждан, не имеющих регистрации по месту жительства  и месту пребывания, а также граждан, прибывающих на место пребывания на срок более трех месяцев и не имеющих регистрации по месту пребывания, осуществляется военным комиссариатом по месту, указанному гражданами в заявлении в качестве их пребывани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я(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учебы), по форме и в порядке, которые устанавливаются Положением о воинском учете;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3.3.Выявлять совместно с органами внутренних дел граждан, проживающих или пребывающи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х(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срок более 3 месяцев) , в том числе не имеющих регистрации по месту жительства и (или) месту пребывания, на их территории и подлежащих постановке на воинский учет 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-направлять в двухнедельный срок в военные комиссариаты сведения о случаях выявления граждан, не состоящих на воинском учете, но обязанных состоять на воинском учете;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-вручать гражданам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состоящим на воинском учете, но обязанным состоять на воинском учете, направление в военный комиссариат для постановки на воинский учет в соответствии с абзацами первым и третьим пункта 2 статьи 8 настоящего Федерального закона;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По указанию  военного комиссариата муниципального образования оповещать граждан о вызовах в военный комиссариат;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3.7. 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комиссариат;</w:t>
      </w:r>
      <w:proofErr w:type="gramEnd"/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их исполнением.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4.0.Организовывать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Федерацию.</w:t>
      </w:r>
      <w:proofErr w:type="gramEnd"/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этом, согласно абз.19 п.2 ст.8 Федерального закона «О воинской обязанности и военной службе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»(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редакции Федерального закона №8-ФЗ) абзац семнадцатый считать абзацем девятнадцатым и в нем слова «, расположенное в пределах территории муниципального образования, место пребывания» заменить словами « и(или) место пребывания, в том числе не подтвержденные регистрацией по месту жительства и (или) месту пребывания,»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 ПРАВА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Для плановой и целенаправленной работы ВУС имеет право: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создавать информационные базы данных</w:t>
      </w: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вопросам, отнесенным к компетенции ВУС;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проводить внутренние совещания по вопросам, отнесенным к компетенции ВУС.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V. РУКОВОДСТВО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Возглавляет ВУС начальник военно-учетного стола органа местного самоуправления (дале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е-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начальник стола). Начальник стола назначается на должность и освобождается от должности руководителем органа местного самоуправления.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5.2. Начальник стола находится в непосредственном подчинении Администрации </w:t>
      </w:r>
      <w:r w:rsidR="00C059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Шумаковского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Солнцевского района Курской области;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5.3. В случае отсутствия начальника ВУС на рабочем месте по уважительным причинам (отпуск, временная нетрудоспособность, командировка) его замещает </w:t>
      </w:r>
      <w:r w:rsidR="00A96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главный специалист </w:t>
      </w:r>
      <w:proofErr w:type="gramStart"/>
      <w:r w:rsidR="00A96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–э</w:t>
      </w:r>
      <w:proofErr w:type="gramEnd"/>
      <w:r w:rsidR="00A96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ксперт администрации Шумаковского </w:t>
      </w:r>
      <w:proofErr w:type="spellStart"/>
      <w:r w:rsidR="00A96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сельсчовета</w:t>
      </w:r>
      <w:proofErr w:type="spellEnd"/>
      <w:r w:rsidR="00A96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92D79" w:rsidRPr="00192D79" w:rsidRDefault="00192D79" w:rsidP="00EA1AD9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192D79" w:rsidRPr="00192D79" w:rsidRDefault="00192D79" w:rsidP="00EA1AD9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 администрации</w:t>
      </w:r>
    </w:p>
    <w:p w:rsidR="00192D79" w:rsidRPr="00192D79" w:rsidRDefault="00C0590C" w:rsidP="00EA1AD9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Шумаковского</w:t>
      </w:r>
      <w:r w:rsidR="00192D79"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Солнцевского района</w:t>
      </w:r>
    </w:p>
    <w:p w:rsidR="00192D79" w:rsidRPr="00192D79" w:rsidRDefault="00A96297" w:rsidP="00EA1AD9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43 от 21.04.2020 г</w:t>
      </w:r>
      <w:bookmarkStart w:id="0" w:name="_GoBack"/>
      <w:bookmarkEnd w:id="0"/>
    </w:p>
    <w:p w:rsidR="00192D79" w:rsidRPr="00192D79" w:rsidRDefault="00192D79" w:rsidP="00EA1AD9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Обязанности работников, осуществляющих </w:t>
      </w:r>
      <w:proofErr w:type="gramStart"/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первичный</w:t>
      </w:r>
      <w:proofErr w:type="gramEnd"/>
    </w:p>
    <w:p w:rsidR="00192D79" w:rsidRPr="00192D79" w:rsidRDefault="00192D79" w:rsidP="00EA1AD9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воинский учет в органах местного самоуправления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При постановке граждан на воинский учет органы местного самоуправления и военно-учетные работники, осуществляющие первичный воинский учет, проверяют: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наличие и подлинность военных билетов</w:t>
      </w:r>
      <w:hyperlink r:id="rId14" w:anchor="_ftn1" w:history="1">
        <w:r w:rsidRPr="00192D7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*</w:t>
        </w:r>
      </w:hyperlink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(справок взамен военных билетов, временных удостоверений, выданных взамен военных билетов</w:t>
      </w:r>
      <w:hyperlink r:id="rId15" w:anchor="_ftn2" w:history="1">
        <w:r w:rsidRPr="00192D7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**</w:t>
        </w:r>
      </w:hyperlink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или удостоверений граждан, подлежащих призыву на военную службу</w:t>
      </w:r>
      <w:hyperlink r:id="rId16" w:anchor="_ftn3" w:history="1">
        <w:r w:rsidRPr="00192D7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***</w:t>
        </w:r>
      </w:hyperlink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отметок в паспортах граждан Российской Федерации об их отношении к воинской обязанности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жетонов с личными номерами Вооруженных Сил Российской Федерации (для военнообязанных запаса при наличии в военных билетах отметок об их вручении).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б) 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 паспортным данным гражданина, наличие фотограф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ии и ее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идентичность владельцу, а во временных удостоверениях, выданных взамен военных билетов, кроме того и срок действия.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жительства: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пункте 25 «Отметки о приеме на воинский учет и снятии с воинского учета» (</w:t>
      </w:r>
      <w:proofErr w:type="spellStart"/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</w:t>
      </w:r>
      <w:proofErr w:type="spellEnd"/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32-35) воинского билета офицера запаса- отметка, заверенная подписью военного комиссара и гербовой печатью военного комиссариата муниципального образования (муниципальных образований);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в разделе «I. Прием на воинский учет и снятие с воинского учета» (стр.2,3) удостоверения гражданина, подлежащего призыву на военную службу,- штамп военного комиссариата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::</w:t>
      </w:r>
      <w:proofErr w:type="gramEnd"/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36"/>
        <w:gridCol w:w="3852"/>
      </w:tblGrid>
      <w:tr w:rsidR="00192D79" w:rsidRPr="00192D79" w:rsidTr="00192D79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 на воинский учет</w:t>
            </w:r>
            <w:proofErr w:type="gramEnd"/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военным комиссариатом</w:t>
            </w:r>
          </w:p>
        </w:tc>
        <w:tc>
          <w:tcPr>
            <w:tcW w:w="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</w:t>
            </w:r>
            <w:proofErr w:type="gramEnd"/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воинского учета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военным комиссариатом</w:t>
            </w:r>
          </w:p>
        </w:tc>
      </w:tr>
      <w:tr w:rsidR="00192D79" w:rsidRPr="00192D79" w:rsidTr="00192D79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(муниципальное образование)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(муниципальное образование)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2D79" w:rsidRPr="00192D79" w:rsidTr="00192D79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(наименование субъекта РФ)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«___»  _________ 20___ г.</w:t>
            </w:r>
          </w:p>
        </w:tc>
        <w:tc>
          <w:tcPr>
            <w:tcW w:w="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(наименование субъекта РФ)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«___»  _________ 20___ г.</w:t>
            </w:r>
          </w:p>
        </w:tc>
      </w:tr>
      <w:tr w:rsidR="00192D79" w:rsidRPr="00192D79" w:rsidTr="00192D79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 _______________</w:t>
            </w:r>
          </w:p>
        </w:tc>
        <w:tc>
          <w:tcPr>
            <w:tcW w:w="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Явиться в военный комиссариат по новому месту жительства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«____ » ____________ 20___ г.</w:t>
            </w:r>
          </w:p>
        </w:tc>
      </w:tr>
      <w:tr w:rsidR="00192D79" w:rsidRPr="00192D79" w:rsidTr="00192D79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Подпись___________________</w:t>
            </w:r>
          </w:p>
        </w:tc>
      </w:tr>
    </w:tbl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графе «Снят» раздела  «IX. Отметки о приеме на воинский учет и снятии с воинского учета» (стр.25-28)военного билета солдата, матроса, сержанта, старшины, прапорщика, мичман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а(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справке взамен военного билета, временном удостоверении, выданном взамен военного билета)-штамп военного комиссариата или органа местного самоуправления: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8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706"/>
        <w:gridCol w:w="4928"/>
      </w:tblGrid>
      <w:tr w:rsidR="00192D79" w:rsidRPr="00192D79" w:rsidTr="00192D79">
        <w:trPr>
          <w:tblCellSpacing w:w="0" w:type="dxa"/>
        </w:trPr>
        <w:tc>
          <w:tcPr>
            <w:tcW w:w="33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Военным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комиссариатом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Подольска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Московской области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«___» _________ 20___ г.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Подпись_____________________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9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Администрацией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Шараповского</w:t>
            </w:r>
            <w:proofErr w:type="spellEnd"/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поселения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Одинцовского района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Московской области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(объединенный военный комиссариат г. Одинцово Московской области)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«___» _________ 20___ г.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Подпись________________________</w:t>
            </w:r>
          </w:p>
        </w:tc>
      </w:tr>
    </w:tbl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)в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случаях отсутствия в военных билетах(справках взамен военных билетов, временных удостоверениях, выданных взамен военных билетов), удостоверениях граждан ,подлежащих призыву на военную службу, и мобилизационных предписаниях отметки о постановке на воинский </w:t>
      </w:r>
      <w:r w:rsidRPr="00192D79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учет </w:t>
      </w: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направляют офицеров запаса и граждан, подлежащих призыву на военную службу</w:t>
      </w:r>
      <w:r w:rsidRPr="00192D79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, в военный комиссариат по месту жительства.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)п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ри обнаружении в военных билетах(справках взамен военных билетов, временных удостоверениях, выданных взамен военных билетов).удостоверениях граждан, подлежащих призыву на военную службу, и мобилизационных предписаниях, неоговоренных исправлений, неточностей и подделок, неполного количества 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листов сообщают об этом в военный комиссариат муниципального образования(муниципальных образований) для принятия соответствующих мер.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При приеме от граждан военного билета (справки взамен военного билета, временного удостоверения, выданного взамен военного билета), или удостоверения гражданина, подлежащего призыву на военную службу, выдают владельцу документа расписку 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   Заполняют карточки первичного учета на офицеров запаса в 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порядке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определяемом настоящими Методическими рекомендациями.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Заполняют (в двух экземплярах) алфавитные карточки и учетные карточки на прапорщиков, мичманов, старшин, сержантов, солдат и матросов запаса в 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порядке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определяемом настоящими Методическими рекомендациями. Заполняют учетные карты призывников в 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порядке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определяемом настоящими Методическими рекомендациями. Заполнение указанных документов производится в соответствии с записями в военных билетах (справки взамен военных </w:t>
      </w:r>
      <w:proofErr w:type="spell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билетов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,в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ременных</w:t>
      </w:r>
      <w:proofErr w:type="spell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удостоверениях, выданных взамен военных билетов) и удостоверениях граждан, подлежащих призыву на военную службу.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заполняют и высылают в военный комиссариат муниципального образования тетрадь по обмену информацией (именной список) или вносят в список граждан, подлежащих призыву на военную службу  с указанием фамилии, имени и отчества, места жительства и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работы, занимаемой должности, наименования органа местного самоуправления, где граждане ранее состояли на воинском учете. Учетные карточки и алфавитные карточки на этих граждан не заполняются.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6.В случае значительной удаленности органа местного самоуправления от военного комиссариата муниципального образования, и (или) нахождения органа местного самоуправления на труднодоступной территории, производят отметку о постановке гражданина на воинский учет (снятии с воинского учета):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военном билете солдата (матроса), сержанта (старшины), прапорщика (мичмана) запаса – в графе «Принят» раздела IX «Отметки о приеме и снятии с воинского учета» (стр.25-28):</w:t>
      </w:r>
      <w:proofErr w:type="gramEnd"/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справке взамен военного билета-в </w:t>
      </w:r>
      <w:proofErr w:type="spell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гафе</w:t>
      </w:r>
      <w:proofErr w:type="spell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«Принят» раздела VII «Отметки о приеме на воинский учет и снятии с воинского учета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»-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штампом администрации органа местного самоуправления соответствующего образца размером 35*25 мм: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</w:tblGrid>
      <w:tr w:rsidR="00192D79" w:rsidRPr="00192D79" w:rsidTr="00192D79">
        <w:trPr>
          <w:tblCellSpacing w:w="0" w:type="dxa"/>
        </w:trPr>
        <w:tc>
          <w:tcPr>
            <w:tcW w:w="37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Администрацией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Шараповского</w:t>
            </w:r>
            <w:proofErr w:type="spellEnd"/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поселения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Одинцовского района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Московской области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военный комиссариат г. Одинцово Московской области)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«___» _________ 20___ г.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Подпись___________________</w:t>
            </w:r>
          </w:p>
        </w:tc>
      </w:tr>
    </w:tbl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принятом решении на предоставление права производства отметок о приеме на воинский учет и снятии с воинского учета солдат (матросов), сержантов (старшин), прапорщиков (мичманов) запаса, военный комиссар муниципального образования письменно уведомляет руководителя соответствующего органа местного самоуправления, осуществляющего первичный воинский учет.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 О военнообязанных, прибывших из других районов (городов) или иного муниципального образования с мобилизационными предписаниями, сообщают в военный комиссариат, где они ранее состояли на воинском учете. Изъятие мобилизационных предписаний производится только по указанию военного комиссариата по месту нахождения органа местного самоуправления, о чем в военных билетах производится отметка: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военном билете офицера запаса – в графе «Изъято» пункта 18. «Отметки о выдаче и изъятии мобилизационных предписаний» (стр.19-23);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военном билете солдат (матросов), сержантов (старшин), прапорщиков (мичманов)– в графе «Изъято» раздела VII «Отметки о выдаче и об изъятии мобилизационных предписаний» (стр.20-21);в справке взамен военного билета 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–в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графе «Изъято» раздела VI «Отметки о выдаче и об изъятии мобилизационных предписаний»- штампом администрации органа местного самоуправления соответствующего образца размером 35*25 мм: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</w:tblGrid>
      <w:tr w:rsidR="00192D79" w:rsidRPr="00192D79" w:rsidTr="00192D79">
        <w:trPr>
          <w:tblCellSpacing w:w="0" w:type="dxa"/>
        </w:trPr>
        <w:tc>
          <w:tcPr>
            <w:tcW w:w="27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Администрацией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Шараповского</w:t>
            </w:r>
            <w:proofErr w:type="spellEnd"/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поселения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Одинцовского района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Московской области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военный комиссариат г. Одинцово Московской области)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«___» _________ 20___ г.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Подпись___________________</w:t>
            </w:r>
          </w:p>
        </w:tc>
      </w:tr>
    </w:tbl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Карточки первичного учета офицеров запаса, алфавитные карточки, учетные карточки солдат (матросов), сержантов (старшин), прапорщиков (мичманов) запаса, учетные карты призывников размещают в соответствующие разделы учетной картотеки.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Представляют военные билеты (справки взамен военных билетов, 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мобилизационные предписания, список граждан, принятых на воинский учет без заполнения алфавитных и учетных карточек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карты первичного воинского учета призывников, удостоверения и список граждан, подлежащих призыву на военную службу, учетные карты, а также паспорта граждан Российской Федерации 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отсутствующими в них отметками об отношении граждан к воинской обязанности в двухнедельный срок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военные комиссариаты для оформления постановки на воинский учет.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10. При снятии граждан с воинского учета органы местного самоуправления и их должностные лица представляют в военные комиссариаты документы воинского учета и паспорта 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отсутствия в них 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отметок об отношении граждан к воинской обязанности для соответствующего оформления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 В случае значительной удаленности органа местного самоуправления от военного комиссариата муниципального образования, и (или) нахождения органа местного самоуправления на труднодоступной территории, производят отметку о снятии с воинского учета: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военном билете солдата (матроса), сержанта (старшины), прапорщика (мичмана)- в графе «Снят» раздела IX «Отметки о приеме и снятии с воинского учета (стр. 25-28):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справке взамен военного билета в графе «Снят» раздела VII «Отметки о приеме на воинский учет и снятии с воинского учета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»-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штампом администрации органа местного самоуправления соответствующего образца размером 35*25 мм: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</w:tblGrid>
      <w:tr w:rsidR="00192D79" w:rsidRPr="00192D79" w:rsidTr="00192D79">
        <w:trPr>
          <w:tblCellSpacing w:w="0" w:type="dxa"/>
        </w:trPr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Администрацией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Шараповского</w:t>
            </w:r>
            <w:proofErr w:type="spellEnd"/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поселения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Одинцовского района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Московской области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военный комиссариат г. Одинцово Московской области)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«___» _________ 20___ г.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92D79" w:rsidRPr="00192D79" w:rsidRDefault="00192D79" w:rsidP="00192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2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Подпись___________________</w:t>
            </w:r>
          </w:p>
        </w:tc>
      </w:tr>
    </w:tbl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соответствующей графе пункта 14 «Отметка о постановке на воинский учет и снятии с воинского учета» карточек первичного воинского учета и пункта IX «Отметки о приеме и снятии с воинского учета» учетных карточек граждан, достигших предельного возраста пребывания в запасе, или граждан, признанных негодными к военной службе по состоянию здоровья, производят отметку «снят с воинского учета по возрасту</w:t>
      </w:r>
      <w:hyperlink r:id="rId17" w:anchor="_ftn4" w:history="1">
        <w:r w:rsidRPr="00192D7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*</w:t>
        </w:r>
      </w:hyperlink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или «снят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воинского учета по состоянию здоровья».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Отметка производится на основании записи, сделанной в военном комиссариате: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военном билете офицера запаса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в пункте 26 «Отметка об освобождении от исполнения воинской обязанности» (стр.36);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 военном билете солдата (матроса), сержанта (старшины), прапорщика (мичмана) – 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разделе «X. Отметка об освобождении от исполнения воинской обязанности» (стр. 30).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справке взамен военного билет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а-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раздел VIII «Отметки об освобождении от воинской обязанности».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 По решению военного комиссара муниципального образовани</w:t>
      </w:r>
      <w:proofErr w:type="gramStart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я(</w:t>
      </w:r>
      <w:proofErr w:type="gramEnd"/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муниципальных образований) изымают мобилизационное предписание у гражданина, убывающего за пределы муниципального образования, </w:t>
      </w: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сельского (городского) поселения, городского округа, внутригородских территорий городов федерального значения или муниципального образования, о чем в военном билете производят отметку.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 Составляют и представляют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 Составляют и представляют в военный комиссариат в 2-недельный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 В документе воинского учета умершего гражданина производят соответствующую запись, которую заверяют подписью Главы органа местного самоуправления и гербовой печатью, после чего военный билет (временное удостоверение, выданное взамен военного билета) или удостоверение гражданина, подлежащего призыву на военную службу, представляют в военный комиссариат. О невозможности получения в органе записи актов гражданского состояния или у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сообщают в военный комиссариат;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 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 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192D79" w:rsidRPr="00192D79" w:rsidRDefault="00192D79" w:rsidP="00192D7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2D79" w:rsidRPr="00192D79" w:rsidRDefault="0024444A" w:rsidP="00192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5" style="width:0;height:.6pt" o:hralign="center" o:hrstd="t" o:hr="t" fillcolor="#a0a0a0" stroked="f"/>
        </w:pict>
      </w:r>
    </w:p>
    <w:p w:rsidR="00192D79" w:rsidRPr="00192D79" w:rsidRDefault="0024444A" w:rsidP="00EA1AD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8" w:anchor="_ftnref1" w:history="1">
        <w:r w:rsidR="00192D79" w:rsidRPr="00192D7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 </w:t>
        </w:r>
      </w:hyperlink>
    </w:p>
    <w:p w:rsidR="00192D79" w:rsidRPr="00192D79" w:rsidRDefault="00192D79" w:rsidP="00192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192D79" w:rsidRPr="0019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4A" w:rsidRDefault="0024444A" w:rsidP="00C0590C">
      <w:pPr>
        <w:spacing w:after="0" w:line="240" w:lineRule="auto"/>
      </w:pPr>
      <w:r>
        <w:separator/>
      </w:r>
    </w:p>
  </w:endnote>
  <w:endnote w:type="continuationSeparator" w:id="0">
    <w:p w:rsidR="0024444A" w:rsidRDefault="0024444A" w:rsidP="00C0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4A" w:rsidRDefault="0024444A" w:rsidP="00C0590C">
      <w:pPr>
        <w:spacing w:after="0" w:line="240" w:lineRule="auto"/>
      </w:pPr>
      <w:r>
        <w:separator/>
      </w:r>
    </w:p>
  </w:footnote>
  <w:footnote w:type="continuationSeparator" w:id="0">
    <w:p w:rsidR="0024444A" w:rsidRDefault="0024444A" w:rsidP="00C05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7FE0"/>
    <w:multiLevelType w:val="multilevel"/>
    <w:tmpl w:val="FDE0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E0B95"/>
    <w:multiLevelType w:val="multilevel"/>
    <w:tmpl w:val="2768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6F"/>
    <w:rsid w:val="000E21B2"/>
    <w:rsid w:val="00192D79"/>
    <w:rsid w:val="0024444A"/>
    <w:rsid w:val="00325DC7"/>
    <w:rsid w:val="008F0206"/>
    <w:rsid w:val="00A96297"/>
    <w:rsid w:val="00C0590C"/>
    <w:rsid w:val="00E2286F"/>
    <w:rsid w:val="00E60C70"/>
    <w:rsid w:val="00EA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D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90C"/>
  </w:style>
  <w:style w:type="paragraph" w:styleId="a7">
    <w:name w:val="footer"/>
    <w:basedOn w:val="a"/>
    <w:link w:val="a8"/>
    <w:uiPriority w:val="99"/>
    <w:unhideWhenUsed/>
    <w:rsid w:val="00C0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D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90C"/>
  </w:style>
  <w:style w:type="paragraph" w:styleId="a7">
    <w:name w:val="footer"/>
    <w:basedOn w:val="a"/>
    <w:link w:val="a8"/>
    <w:uiPriority w:val="99"/>
    <w:unhideWhenUsed/>
    <w:rsid w:val="00C0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605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8244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1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3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2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0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5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5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2790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1137">
              <w:marLeft w:val="7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94A1B0"/>
                <w:bottom w:val="none" w:sz="0" w:space="0" w:color="auto"/>
                <w:right w:val="single" w:sz="6" w:space="15" w:color="94A1B0"/>
              </w:divBdr>
              <w:divsChild>
                <w:div w:id="7461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6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90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2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27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aroleshinskiy.rkursk.ru/index.php?mun_obr=414&amp;sub_menus_id=14461&amp;num_str=1&amp;id_mat=339977" TargetMode="External"/><Relationship Id="rId18" Type="http://schemas.openxmlformats.org/officeDocument/2006/relationships/hyperlink" Target="file:///C:\Users\Eduard\Downloads\&#208;&#159;&#226;&#132;&#150;11%20&#208;&#190;&#209;&#130;%2004032020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roleshinskiy.rkursk.ru/index.php?mun_obr=414&amp;sub_menus_id=14461&amp;num_str=1&amp;id_mat=339977" TargetMode="External"/><Relationship Id="rId17" Type="http://schemas.openxmlformats.org/officeDocument/2006/relationships/hyperlink" Target="file:///C:\Users\Eduard\Downloads\&#208;&#159;&#226;&#132;&#150;11%20&#208;&#190;&#209;&#130;%2004032020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duard\Downloads\&#208;&#159;&#226;&#132;&#150;11%20&#208;&#190;&#209;&#130;%2004032020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roleshinskiy.rkursk.ru/index.php?mun_obr=414&amp;sub_menus_id=14461&amp;num_str=1&amp;id_mat=3399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Eduard\Downloads\&#208;&#159;&#226;&#132;&#150;11%20&#208;&#190;&#209;&#130;%2004032020.doc" TargetMode="External"/><Relationship Id="rId10" Type="http://schemas.openxmlformats.org/officeDocument/2006/relationships/hyperlink" Target="http://staroleshinskiy.rkursk.ru/index.php?mun_obr=414&amp;sub_menus_id=14461&amp;num_str=1&amp;id_mat=3399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roleshinskiy.rkursk.ru/index.php?mun_obr=414&amp;sub_menus_id=14461&amp;num_str=1&amp;id_mat=339977" TargetMode="External"/><Relationship Id="rId14" Type="http://schemas.openxmlformats.org/officeDocument/2006/relationships/hyperlink" Target="file:///C:\Users\Eduard\Downloads\&#208;&#159;&#226;&#132;&#150;11%20&#208;&#190;&#209;&#130;%200403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2020-04-20T12:02:00Z</dcterms:created>
  <dcterms:modified xsi:type="dcterms:W3CDTF">2020-04-20T12:12:00Z</dcterms:modified>
</cp:coreProperties>
</file>