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color w:val="106BBE"/>
          <w:sz w:val="24"/>
        </w:rPr>
        <w:t>Указ Президента РФ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 изменениями и дополнениями)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b/>
          <w:color w:val="353842"/>
          <w:sz w:val="20"/>
        </w:rPr>
      </w:pPr>
      <w:r>
        <w:rPr>
          <w:rFonts w:ascii="Times New Roman CYR" w:eastAsia="Times New Roman CYR" w:hAnsi="Times New Roman CYR" w:cs="Times New Roman CYR"/>
          <w:b/>
          <w:color w:val="353842"/>
          <w:sz w:val="20"/>
        </w:rPr>
        <w:t>С изменениями и дополнениями от:</w:t>
      </w:r>
    </w:p>
    <w:p w:rsidR="00996AD7" w:rsidRDefault="008A2BD3">
      <w:pPr>
        <w:spacing w:before="180" w:after="0" w:line="240" w:lineRule="auto"/>
        <w:ind w:left="360" w:right="360"/>
        <w:jc w:val="both"/>
        <w:rPr>
          <w:rFonts w:ascii="Times New Roman CYR" w:eastAsia="Times New Roman CYR" w:hAnsi="Times New Roman CYR" w:cs="Times New Roman CYR"/>
          <w:color w:val="353842"/>
          <w:sz w:val="20"/>
          <w:shd w:val="clear" w:color="auto" w:fill="EAEFED"/>
        </w:rPr>
      </w:pPr>
      <w:r>
        <w:rPr>
          <w:rFonts w:ascii="Times New Roman CYR" w:eastAsia="Times New Roman CYR" w:hAnsi="Times New Roman CYR" w:cs="Times New Roman CYR"/>
          <w:color w:val="353842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color w:val="353842"/>
          <w:sz w:val="20"/>
          <w:shd w:val="clear" w:color="auto" w:fill="EAEFED"/>
        </w:rPr>
        <w:t>19 сентября, 9 октября 2017 г., 15 января, 10 декабря 2020 г.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соответствии с федеральными законами </w:t>
      </w:r>
      <w:hyperlink r:id="rId5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от 25 декабря 2008 г. N 273-ФЗ</w:t>
        </w:r>
      </w:hyperlink>
      <w:r>
        <w:rPr>
          <w:rFonts w:ascii="Calibri" w:eastAsia="Calibri" w:hAnsi="Calibri" w:cs="Calibri"/>
        </w:rPr>
        <w:t xml:space="preserve"> "</w:t>
      </w:r>
      <w:r>
        <w:rPr>
          <w:rFonts w:ascii="Calibri" w:eastAsia="Calibri" w:hAnsi="Calibri" w:cs="Calibri"/>
        </w:rPr>
        <w:t xml:space="preserve">О противодействии коррупции" и </w:t>
      </w:r>
      <w:hyperlink r:id="rId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от 3 декабря 2012 г. N 230-ФЗ</w:t>
        </w:r>
      </w:hyperlink>
      <w:r>
        <w:rPr>
          <w:rFonts w:ascii="Calibri" w:eastAsia="Calibri" w:hAnsi="Calibri" w:cs="Calibri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У</w:t>
      </w:r>
      <w:r>
        <w:rPr>
          <w:rFonts w:ascii="Calibri" w:eastAsia="Calibri" w:hAnsi="Calibri" w:cs="Calibri"/>
        </w:rPr>
        <w:t xml:space="preserve">твердить прилагаемую </w:t>
      </w:r>
      <w:hyperlink r:id="rId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форму</w:t>
        </w:r>
      </w:hyperlink>
      <w:r>
        <w:rPr>
          <w:rFonts w:ascii="Calibri" w:eastAsia="Calibri" w:hAnsi="Calibri" w:cs="Calibri"/>
        </w:rPr>
        <w:t xml:space="preserve"> справки о доходах, расходах, об</w:t>
      </w:r>
      <w:r>
        <w:rPr>
          <w:rFonts w:ascii="Calibri" w:eastAsia="Calibri" w:hAnsi="Calibri" w:cs="Calibri"/>
        </w:rPr>
        <w:t xml:space="preserve"> имуществе и обязательствах имущественного характера.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  <w:t>Информация об изменениях: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i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  <w:t xml:space="preserve">Пункт 2 изменен с 1 июля 2020 г. - </w:t>
      </w:r>
      <w:hyperlink r:id="rId8">
        <w:r>
          <w:rPr>
            <w:rFonts w:ascii="Times New Roman CYR" w:eastAsia="Times New Roman CYR" w:hAnsi="Times New Roman CYR" w:cs="Times New Roman CYR"/>
            <w:b/>
            <w:i/>
            <w:color w:val="106BBE"/>
            <w:sz w:val="24"/>
            <w:u w:val="single"/>
            <w:shd w:val="clear" w:color="auto" w:fill="F0F0F0"/>
          </w:rPr>
          <w:t>Указ</w:t>
        </w:r>
      </w:hyperlink>
      <w:r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  <w:t xml:space="preserve"> Президента России от 15 января 2020 г. N 13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i/>
          <w:color w:val="353842"/>
          <w:sz w:val="24"/>
        </w:rPr>
        <w:t xml:space="preserve"> </w:t>
      </w:r>
      <w:hyperlink r:id="rId9">
        <w:r>
          <w:rPr>
            <w:rFonts w:ascii="Times New Roman CYR" w:eastAsia="Times New Roman CYR" w:hAnsi="Times New Roman CYR" w:cs="Times New Roman CYR"/>
            <w:b/>
            <w:i/>
            <w:color w:val="106BBE"/>
            <w:sz w:val="24"/>
            <w:u w:val="single"/>
            <w:shd w:val="clear" w:color="auto" w:fill="F0F0F0"/>
          </w:rPr>
          <w:t>См. предыдущую редакцию</w:t>
        </w:r>
      </w:hyperlink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</w:t>
      </w:r>
      <w:r>
        <w:rPr>
          <w:rFonts w:ascii="Calibri" w:eastAsia="Calibri" w:hAnsi="Calibri" w:cs="Calibri"/>
        </w:rPr>
        <w:t>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</w:t>
      </w:r>
      <w:r>
        <w:rPr>
          <w:rFonts w:ascii="Calibri" w:eastAsia="Calibri" w:hAnsi="Calibri" w:cs="Calibri"/>
        </w:rPr>
        <w:t xml:space="preserve">ения по </w:t>
      </w:r>
      <w:hyperlink r:id="rId10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форме</w:t>
        </w:r>
      </w:hyperlink>
      <w:r>
        <w:rPr>
          <w:rFonts w:ascii="Calibri" w:eastAsia="Calibri" w:hAnsi="Calibri" w:cs="Calibri"/>
        </w:rPr>
        <w:t xml:space="preserve"> справки, утвержденной настоящим Указом, запо</w:t>
      </w:r>
      <w:r>
        <w:rPr>
          <w:rFonts w:ascii="Calibri" w:eastAsia="Calibri" w:hAnsi="Calibri" w:cs="Calibri"/>
        </w:rPr>
        <w:t xml:space="preserve">лненной с использованием специального программного обеспечения "Справки БК", размещенного на </w:t>
      </w:r>
      <w:hyperlink r:id="rId11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официальном сайте</w:t>
        </w:r>
      </w:hyperlink>
      <w:r>
        <w:rPr>
          <w:rFonts w:ascii="Calibri" w:eastAsia="Calibri" w:hAnsi="Calibri" w:cs="Calibri"/>
        </w:rPr>
        <w:t xml:space="preserve"> Президента Российской Федерации, ссылка на который также размещается н</w:t>
      </w:r>
      <w:r>
        <w:rPr>
          <w:rFonts w:ascii="Calibri" w:eastAsia="Calibri" w:hAnsi="Calibri" w:cs="Calibri"/>
        </w:rPr>
        <w:t xml:space="preserve">а </w:t>
      </w:r>
      <w:hyperlink r:id="rId12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официальном сайте</w:t>
        </w:r>
      </w:hyperlink>
      <w:r>
        <w:rPr>
          <w:rFonts w:ascii="Calibri" w:eastAsia="Calibri" w:hAnsi="Calibri" w:cs="Calibri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  <w:t>ГАРАНТ: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 xml:space="preserve">См. </w:t>
      </w:r>
      <w:hyperlink r:id="rId13">
        <w:r>
          <w:rPr>
            <w:rFonts w:ascii="Times New Roman CYR" w:eastAsia="Times New Roman CYR" w:hAnsi="Times New Roman CYR" w:cs="Times New Roman CYR"/>
            <w:b/>
            <w:color w:val="106BBE"/>
            <w:sz w:val="24"/>
            <w:u w:val="single"/>
            <w:shd w:val="clear" w:color="auto" w:fill="F0F0F0"/>
          </w:rPr>
          <w:t>справку</w:t>
        </w:r>
      </w:hyperlink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 xml:space="preserve"> о порядке представления должностными лицами и гражданами, претендующими на замещение должностей федеральной государственной службы и приравненным к ним, сведений о доходах, об </w:t>
      </w:r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>имуществе и обязательствах имущественного характера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Внести в </w:t>
      </w:r>
      <w:hyperlink r:id="rId14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Президента Российской Федерации от 18 мая 2009 г. N 558 "</w:t>
      </w:r>
      <w:r>
        <w:rPr>
          <w:rFonts w:ascii="Calibri" w:eastAsia="Calibri" w:hAnsi="Calibri" w:cs="Calibri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</w:t>
      </w:r>
      <w:r>
        <w:rPr>
          <w:rFonts w:ascii="Calibri" w:eastAsia="Calibri" w:hAnsi="Calibri" w:cs="Calibri"/>
        </w:rPr>
        <w:t xml:space="preserve">ние законодательства Российской Федерации, 2009, N 21, ст. 2543; 2010, N 3, ст. 274; 2012, N 12, ст. 1391; 2013, N 40, ст. 5044; N 49, ст. 6399) и в </w:t>
      </w:r>
      <w:hyperlink r:id="rId15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Положение</w:t>
        </w:r>
      </w:hyperlink>
      <w:r>
        <w:rPr>
          <w:rFonts w:ascii="Calibri" w:eastAsia="Calibri" w:hAnsi="Calibri" w:cs="Calibri"/>
        </w:rPr>
        <w:t xml:space="preserve"> о представлении гражда</w:t>
      </w:r>
      <w:r>
        <w:rPr>
          <w:rFonts w:ascii="Calibri" w:eastAsia="Calibri" w:hAnsi="Calibri" w:cs="Calibri"/>
        </w:rPr>
        <w:t xml:space="preserve">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</w:t>
      </w:r>
      <w:hyperlink r:id="rId1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Указом</w:t>
        </w:r>
      </w:hyperlink>
      <w:r>
        <w:rPr>
          <w:rFonts w:ascii="Calibri" w:eastAsia="Calibri" w:hAnsi="Calibri" w:cs="Calibri"/>
        </w:rPr>
        <w:t>, следующие изменения: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 в </w:t>
      </w:r>
      <w:hyperlink r:id="rId1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Указе</w:t>
        </w:r>
      </w:hyperlink>
      <w:r>
        <w:rPr>
          <w:rFonts w:ascii="Calibri" w:eastAsia="Calibri" w:hAnsi="Calibri" w:cs="Calibri"/>
        </w:rPr>
        <w:t>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b/>
          <w:color w:val="106BBE"/>
        </w:rPr>
        <w:t>подпункты "б" - "и" пункта 1</w:t>
      </w:r>
      <w:r>
        <w:rPr>
          <w:rFonts w:ascii="Calibri" w:eastAsia="Calibri" w:hAnsi="Calibri" w:cs="Calibri"/>
        </w:rPr>
        <w:t xml:space="preserve"> признать утратившими силу;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b/>
          <w:color w:val="106BBE"/>
        </w:rPr>
        <w:t>пункт 2</w:t>
      </w:r>
      <w:r>
        <w:rPr>
          <w:rFonts w:ascii="Calibri" w:eastAsia="Calibri" w:hAnsi="Calibri" w:cs="Calibri"/>
        </w:rPr>
        <w:t xml:space="preserve"> изложить в следую</w:t>
      </w:r>
      <w:r>
        <w:rPr>
          <w:rFonts w:ascii="Calibri" w:eastAsia="Calibri" w:hAnsi="Calibri" w:cs="Calibri"/>
        </w:rPr>
        <w:t>щей редакции: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</w:t>
      </w:r>
      <w:r>
        <w:rPr>
          <w:rFonts w:ascii="Calibri" w:eastAsia="Calibri" w:hAnsi="Calibri" w:cs="Calibri"/>
        </w:rPr>
        <w:t>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</w:t>
      </w:r>
      <w:r>
        <w:rPr>
          <w:rFonts w:ascii="Calibri" w:eastAsia="Calibri" w:hAnsi="Calibri" w:cs="Calibri"/>
        </w:rPr>
        <w:t>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b/>
          <w:color w:val="106BBE"/>
        </w:rPr>
        <w:t>пункт 3</w:t>
      </w:r>
      <w:r>
        <w:rPr>
          <w:rFonts w:ascii="Calibri" w:eastAsia="Calibri" w:hAnsi="Calibri" w:cs="Calibri"/>
        </w:rPr>
        <w:t xml:space="preserve"> признать утратившим силу;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в </w:t>
      </w:r>
      <w:hyperlink r:id="rId1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Положении</w:t>
        </w:r>
      </w:hyperlink>
      <w:r>
        <w:rPr>
          <w:rFonts w:ascii="Calibri" w:eastAsia="Calibri" w:hAnsi="Calibri" w:cs="Calibri"/>
        </w:rPr>
        <w:t>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</w:t>
      </w:r>
      <w:hyperlink r:id="rId19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3</w:t>
        </w:r>
      </w:hyperlink>
      <w:r>
        <w:rPr>
          <w:rFonts w:ascii="Calibri" w:eastAsia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</w:t>
      </w:r>
      <w:hyperlink r:id="rId20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подпункте "б" пункта 4</w:t>
        </w:r>
      </w:hyperlink>
      <w:r>
        <w:rPr>
          <w:rFonts w:ascii="Calibri" w:eastAsia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</w:t>
      </w:r>
      <w:hyperlink r:id="rId21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абзаце втором пункта 5</w:t>
        </w:r>
      </w:hyperlink>
      <w:r>
        <w:rPr>
          <w:rFonts w:ascii="Calibri" w:eastAsia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Внести в </w:t>
      </w:r>
      <w:hyperlink r:id="rId22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</w:t>
      </w:r>
      <w:r>
        <w:rPr>
          <w:rFonts w:ascii="Calibri" w:eastAsia="Calibri" w:hAnsi="Calibri" w:cs="Calibri"/>
        </w:rPr>
        <w:t>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274; 2012, N 12, ст. 1391; 2013, N 14, ст. 1670; N 40, ст. 5044; N 49, ст.</w:t>
      </w:r>
      <w:r>
        <w:rPr>
          <w:rFonts w:ascii="Calibri" w:eastAsia="Calibri" w:hAnsi="Calibri" w:cs="Calibri"/>
        </w:rPr>
        <w:t xml:space="preserve"> 6399) и в </w:t>
      </w:r>
      <w:hyperlink r:id="rId23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Положение</w:t>
        </w:r>
      </w:hyperlink>
      <w:r>
        <w:rPr>
          <w:rFonts w:ascii="Calibri" w:eastAsia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</w:t>
      </w:r>
      <w:r>
        <w:rPr>
          <w:rFonts w:ascii="Calibri" w:eastAsia="Calibri" w:hAnsi="Calibri" w:cs="Calibri"/>
        </w:rPr>
        <w:t xml:space="preserve">ах, об имуществе и обязательствах имущественного характера, утвержденное этим </w:t>
      </w:r>
      <w:hyperlink r:id="rId24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Указом</w:t>
        </w:r>
      </w:hyperlink>
      <w:r>
        <w:rPr>
          <w:rFonts w:ascii="Calibri" w:eastAsia="Calibri" w:hAnsi="Calibri" w:cs="Calibri"/>
        </w:rPr>
        <w:t>, следующие изменения: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 в </w:t>
      </w:r>
      <w:hyperlink r:id="rId25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Указе</w:t>
        </w:r>
      </w:hyperlink>
      <w:r>
        <w:rPr>
          <w:rFonts w:ascii="Calibri" w:eastAsia="Calibri" w:hAnsi="Calibri" w:cs="Calibri"/>
        </w:rPr>
        <w:t>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b/>
          <w:color w:val="106BBE"/>
        </w:rPr>
        <w:t>подпункты "б" - "д" пункта 1</w:t>
      </w:r>
      <w:r>
        <w:rPr>
          <w:rFonts w:ascii="Calibri" w:eastAsia="Calibri" w:hAnsi="Calibri" w:cs="Calibri"/>
        </w:rPr>
        <w:t xml:space="preserve"> признать утратившими силу;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b/>
          <w:color w:val="106BBE"/>
        </w:rPr>
        <w:t>пункт 2</w:t>
      </w:r>
      <w:r>
        <w:rPr>
          <w:rFonts w:ascii="Calibri" w:eastAsia="Calibri" w:hAnsi="Calibri" w:cs="Calibri"/>
        </w:rPr>
        <w:t xml:space="preserve"> изложить в следующей редакции: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</w:t>
      </w:r>
      <w:r>
        <w:rPr>
          <w:rFonts w:ascii="Calibri" w:eastAsia="Calibri" w:hAnsi="Calibri" w:cs="Calibri"/>
        </w:rPr>
        <w:t>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</w:t>
      </w:r>
      <w:r>
        <w:rPr>
          <w:rFonts w:ascii="Calibri" w:eastAsia="Calibri" w:hAnsi="Calibri" w:cs="Calibri"/>
        </w:rPr>
        <w:t>рации форме справки, а также с учетом положений законодательства Российской Федерации о государственной тайне.";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в </w:t>
      </w:r>
      <w:hyperlink r:id="rId2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абзаце первом пункта 3</w:t>
        </w:r>
      </w:hyperlink>
      <w:r>
        <w:rPr>
          <w:rFonts w:ascii="Calibri" w:eastAsia="Calibri" w:hAnsi="Calibri" w:cs="Calibri"/>
        </w:rPr>
        <w:t xml:space="preserve"> Положения слова "по утвержденным формам </w:t>
      </w:r>
      <w:r>
        <w:rPr>
          <w:rFonts w:ascii="Calibri" w:eastAsia="Calibri" w:hAnsi="Calibri" w:cs="Calibri"/>
        </w:rPr>
        <w:t>справок" заменить словами "по утвержденной Президентом Российской Федерации форме справки".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Внести в </w:t>
      </w:r>
      <w:hyperlink r:id="rId2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Президента Российской Федерации от 18 мая 2009 г. N 560 "О представлении гр</w:t>
      </w:r>
      <w:r>
        <w:rPr>
          <w:rFonts w:ascii="Calibri" w:eastAsia="Calibri" w:hAnsi="Calibri" w:cs="Calibri"/>
        </w:rPr>
        <w:t xml:space="preserve">ажданами, претендующими на замещение руководящих должностей в государственных </w:t>
      </w:r>
      <w:r>
        <w:rPr>
          <w:rFonts w:ascii="Calibri" w:eastAsia="Calibri" w:hAnsi="Calibri" w:cs="Calibri"/>
        </w:rPr>
        <w:lastRenderedPageBreak/>
        <w:t>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</w:t>
      </w:r>
      <w:r>
        <w:rPr>
          <w:rFonts w:ascii="Calibri" w:eastAsia="Calibri" w:hAnsi="Calibri" w:cs="Calibri"/>
        </w:rPr>
        <w:t xml:space="preserve">бязательствах имущественного характера" (Собрание законодательства Российской Федерации, 2009, N 21, ст. 2545; 2013, N 40, ст. 5044) изменение, изложив </w:t>
      </w:r>
      <w:hyperlink r:id="rId2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абзац первый пункта 1</w:t>
        </w:r>
      </w:hyperlink>
      <w:r>
        <w:rPr>
          <w:rFonts w:ascii="Calibri" w:eastAsia="Calibri" w:hAnsi="Calibri" w:cs="Calibri"/>
        </w:rPr>
        <w:t xml:space="preserve"> в следующе</w:t>
      </w:r>
      <w:r>
        <w:rPr>
          <w:rFonts w:ascii="Calibri" w:eastAsia="Calibri" w:hAnsi="Calibri" w:cs="Calibri"/>
        </w:rPr>
        <w:t>й редакции: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</w:t>
      </w:r>
      <w:r>
        <w:rPr>
          <w:rFonts w:ascii="Calibri" w:eastAsia="Calibri" w:hAnsi="Calibri" w:cs="Calibri"/>
        </w:rPr>
        <w:t>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2009 г. N 559 "О представлении гражданами, претендующими на замещение должностей федеральной государ</w:t>
      </w:r>
      <w:r>
        <w:rPr>
          <w:rFonts w:ascii="Calibri" w:eastAsia="Calibri" w:hAnsi="Calibri" w:cs="Calibri"/>
        </w:rPr>
        <w:t>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Внести в </w:t>
      </w:r>
      <w:hyperlink r:id="rId29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</w:t>
      </w:r>
      <w:r>
        <w:rPr>
          <w:rFonts w:ascii="Calibri" w:eastAsia="Calibri" w:hAnsi="Calibri" w:cs="Calibri"/>
        </w:rPr>
        <w:t>, N 14, ст. 1670; N 23, ст. 2892; N 28, ст. 3813; N 49, ст. 6399) следующие изменения: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 </w:t>
      </w:r>
      <w:hyperlink r:id="rId30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абзац первый пункта 1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дополнить словами "по утвержденной Президентом Российской Федерации форме справки";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в </w:t>
      </w:r>
      <w:hyperlink r:id="rId31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2</w:t>
        </w:r>
      </w:hyperlink>
      <w:r>
        <w:rPr>
          <w:rFonts w:ascii="Calibri" w:eastAsia="Calibri" w:hAnsi="Calibri" w:cs="Calibri"/>
        </w:rPr>
        <w:t xml:space="preserve"> слова "в порядке, сроки и по формам" заменить словами "по утвержденной Президентом Р</w:t>
      </w:r>
      <w:r>
        <w:rPr>
          <w:rFonts w:ascii="Calibri" w:eastAsia="Calibri" w:hAnsi="Calibri" w:cs="Calibri"/>
        </w:rPr>
        <w:t>оссийской Федерации форме справки в порядке и сроки";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 в </w:t>
      </w:r>
      <w:hyperlink r:id="rId32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3</w:t>
        </w:r>
      </w:hyperlink>
      <w:r>
        <w:rPr>
          <w:rFonts w:ascii="Calibri" w:eastAsia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</w:t>
      </w:r>
      <w:r>
        <w:rPr>
          <w:rFonts w:ascii="Calibri" w:eastAsia="Calibri" w:hAnsi="Calibri" w:cs="Calibri"/>
        </w:rPr>
        <w:t>вки в порядке и сроки";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г) в </w:t>
      </w:r>
      <w:hyperlink r:id="rId33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4</w:t>
        </w:r>
      </w:hyperlink>
      <w:r>
        <w:rPr>
          <w:rFonts w:ascii="Calibri" w:eastAsia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</w:t>
      </w:r>
      <w:r>
        <w:rPr>
          <w:rFonts w:ascii="Calibri" w:eastAsia="Calibri" w:hAnsi="Calibri" w:cs="Calibri"/>
        </w:rPr>
        <w:t>дусмотренные";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д) в </w:t>
      </w:r>
      <w:hyperlink r:id="rId34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5</w:t>
        </w:r>
      </w:hyperlink>
      <w:r>
        <w:rPr>
          <w:rFonts w:ascii="Calibri" w:eastAsia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</w:t>
      </w:r>
      <w:r>
        <w:rPr>
          <w:rFonts w:ascii="Calibri" w:eastAsia="Calibri" w:hAnsi="Calibri" w:cs="Calibri"/>
        </w:rPr>
        <w:t>ные";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е) в </w:t>
      </w:r>
      <w:hyperlink r:id="rId35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пункте 6</w:t>
        </w:r>
      </w:hyperlink>
      <w:r>
        <w:rPr>
          <w:rFonts w:ascii="Calibri" w:eastAsia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ж) </w:t>
      </w:r>
      <w:hyperlink r:id="rId3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 8</w:t>
        </w:r>
      </w:hyperlink>
      <w:r>
        <w:rPr>
          <w:rFonts w:ascii="Calibri" w:eastAsia="Calibri" w:hAnsi="Calibri" w:cs="Calibri"/>
        </w:rPr>
        <w:t xml:space="preserve"> изложить в следующей редакции: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</w:t>
      </w:r>
      <w:r>
        <w:rPr>
          <w:rFonts w:ascii="Calibri" w:eastAsia="Calibri" w:hAnsi="Calibri" w:cs="Calibri"/>
        </w:rPr>
        <w:t>зательствах имущественного характера, форма которой утверждена Президентом Российской Федерации.".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Внести в </w:t>
      </w:r>
      <w:hyperlink r:id="rId3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Президента Российской Федерации от 2 апреля 2013 г. N 310 "О мерах</w:t>
      </w:r>
      <w:r>
        <w:rPr>
          <w:rFonts w:ascii="Calibri" w:eastAsia="Calibri" w:hAnsi="Calibri" w:cs="Calibri"/>
        </w:rPr>
        <w:t xml:space="preserve">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 14, ст. 1671; N 28, ст. 3813; N 49, ст. </w:t>
      </w:r>
      <w:r>
        <w:rPr>
          <w:rFonts w:ascii="Calibri" w:eastAsia="Calibri" w:hAnsi="Calibri" w:cs="Calibri"/>
        </w:rPr>
        <w:t>6399) следующие изменения: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а) </w:t>
      </w:r>
      <w:hyperlink r:id="rId3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 9</w:t>
        </w:r>
      </w:hyperlink>
      <w:r>
        <w:rPr>
          <w:rFonts w:ascii="Calibri" w:eastAsia="Calibri" w:hAnsi="Calibri" w:cs="Calibri"/>
        </w:rPr>
        <w:t xml:space="preserve"> признать утратившим силу;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дополнить </w:t>
      </w:r>
      <w:hyperlink r:id="rId39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пунктом 9.1</w:t>
        </w:r>
      </w:hyperlink>
      <w:r>
        <w:rPr>
          <w:rFonts w:ascii="Calibri" w:eastAsia="Calibri" w:hAnsi="Calibri" w:cs="Calibri"/>
        </w:rPr>
        <w:t xml:space="preserve"> следующего содержа</w:t>
      </w:r>
      <w:r>
        <w:rPr>
          <w:rFonts w:ascii="Calibri" w:eastAsia="Calibri" w:hAnsi="Calibri" w:cs="Calibri"/>
        </w:rPr>
        <w:t>ния: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"9.1. Установить, что сведения, предусмотренные статьей 3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</w:t>
      </w:r>
      <w:r>
        <w:rPr>
          <w:rFonts w:ascii="Calibri" w:eastAsia="Calibri" w:hAnsi="Calibri" w:cs="Calibri"/>
        </w:rPr>
        <w:t xml:space="preserve"> имуществе и обязательствах имущественного характера, форма которой утверждена Президентом Российской Федерации.".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Настоящий Указ вступает в силу с 1 января 2015 г.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3"/>
        <w:gridCol w:w="3160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Президент Российской Федерации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В. Путин</w:t>
            </w: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Москва, Кремль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 июня 2014 года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 460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  <w:t>Информация об изменениях: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i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  <w:t xml:space="preserve">Справка изменена с 1 июля 2021 г. - </w:t>
      </w:r>
      <w:hyperlink r:id="rId40">
        <w:r>
          <w:rPr>
            <w:rFonts w:ascii="Times New Roman CYR" w:eastAsia="Times New Roman CYR" w:hAnsi="Times New Roman CYR" w:cs="Times New Roman CYR"/>
            <w:b/>
            <w:i/>
            <w:color w:val="106BBE"/>
            <w:sz w:val="24"/>
            <w:u w:val="single"/>
            <w:shd w:val="clear" w:color="auto" w:fill="F0F0F0"/>
          </w:rPr>
          <w:t>Указ</w:t>
        </w:r>
      </w:hyperlink>
      <w:r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  <w:t xml:space="preserve"> Президента России от 10 декабря 2020 г. N 778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i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i/>
          <w:color w:val="353842"/>
          <w:sz w:val="24"/>
        </w:rPr>
        <w:t xml:space="preserve"> </w:t>
      </w:r>
      <w:hyperlink r:id="rId41">
        <w:r>
          <w:rPr>
            <w:rFonts w:ascii="Times New Roman CYR" w:eastAsia="Times New Roman CYR" w:hAnsi="Times New Roman CYR" w:cs="Times New Roman CYR"/>
            <w:b/>
            <w:i/>
            <w:color w:val="106BBE"/>
            <w:sz w:val="24"/>
            <w:u w:val="single"/>
            <w:shd w:val="clear" w:color="auto" w:fill="F0F0F0"/>
          </w:rPr>
          <w:t>См. предыдущую редакцию</w:t>
        </w:r>
      </w:hyperlink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000000"/>
          <w:sz w:val="16"/>
          <w:shd w:val="clear" w:color="auto" w:fill="F0F0F0"/>
        </w:rPr>
        <w:t>ГАРАНТ: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 xml:space="preserve">О заполнении формы справки в 2022 г. (за отчетный 2021 г.) см. </w:t>
      </w:r>
      <w:hyperlink r:id="rId42">
        <w:r>
          <w:rPr>
            <w:rFonts w:ascii="Times New Roman CYR" w:eastAsia="Times New Roman CYR" w:hAnsi="Times New Roman CYR" w:cs="Times New Roman CYR"/>
            <w:b/>
            <w:color w:val="106BBE"/>
            <w:sz w:val="24"/>
            <w:u w:val="single"/>
            <w:shd w:val="clear" w:color="auto" w:fill="F0F0F0"/>
          </w:rPr>
          <w:t>Методические рекомендации</w:t>
        </w:r>
      </w:hyperlink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>, направленные Минтрудом России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>См. примеры заполнения справки о доходах, расходах, об имуществе и обязательствах имущественного характера по состоянию на 28 октября 2020 г.</w:t>
      </w:r>
    </w:p>
    <w:p w:rsidR="00996AD7" w:rsidRDefault="008A2BD3">
      <w:pPr>
        <w:spacing w:before="75" w:after="0" w:line="240" w:lineRule="auto"/>
        <w:ind w:left="170"/>
        <w:jc w:val="both"/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</w:pPr>
      <w:r>
        <w:rPr>
          <w:rFonts w:ascii="Times New Roman CYR" w:eastAsia="Times New Roman CYR" w:hAnsi="Times New Roman CYR" w:cs="Times New Roman CYR"/>
          <w:color w:val="353842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color w:val="353842"/>
          <w:sz w:val="24"/>
          <w:shd w:val="clear" w:color="auto" w:fill="F0F0F0"/>
        </w:rPr>
        <w:t>См. данную форму в редакторах MS-Word и MS-Excel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eastAsia="Courier New" w:hAnsi="Courier New" w:cs="Courier New"/>
        </w:rPr>
        <w:t xml:space="preserve">                                                  </w:t>
      </w:r>
      <w:r>
        <w:rPr>
          <w:rFonts w:ascii="Courier New" w:eastAsia="Courier New" w:hAnsi="Courier New" w:cs="Courier New"/>
          <w:b/>
          <w:color w:val="26282F"/>
        </w:rPr>
        <w:t>УТВЕРЖДЕНА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      </w:t>
      </w:r>
      <w:hyperlink r:id="rId43">
        <w:r>
          <w:rPr>
            <w:rFonts w:ascii="Courier New" w:eastAsia="Courier New" w:hAnsi="Courier New" w:cs="Courier New"/>
            <w:b/>
            <w:color w:val="106BBE"/>
            <w:u w:val="single"/>
          </w:rPr>
          <w:t>Указом</w:t>
        </w:r>
      </w:hyperlink>
      <w:r>
        <w:rPr>
          <w:rFonts w:ascii="Courier New" w:eastAsia="Courier New" w:hAnsi="Courier New" w:cs="Courier New"/>
          <w:b/>
          <w:color w:val="26282F"/>
        </w:rPr>
        <w:t xml:space="preserve"> Президента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    </w:t>
      </w:r>
      <w:r>
        <w:rPr>
          <w:rFonts w:ascii="Courier New" w:eastAsia="Courier New" w:hAnsi="Courier New" w:cs="Courier New"/>
          <w:b/>
          <w:color w:val="26282F"/>
        </w:rPr>
        <w:t>Российской Федерации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  </w:t>
      </w:r>
      <w:r>
        <w:rPr>
          <w:rFonts w:ascii="Courier New" w:eastAsia="Courier New" w:hAnsi="Courier New" w:cs="Courier New"/>
          <w:b/>
          <w:color w:val="26282F"/>
        </w:rPr>
        <w:t>от 23 июня 2014 г. N 460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color w:val="26282F"/>
        </w:rPr>
        <w:t xml:space="preserve">                                           (с изменениями от 19 сентября,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</w:t>
      </w:r>
      <w:r>
        <w:rPr>
          <w:rFonts w:ascii="Courier New" w:eastAsia="Courier New" w:hAnsi="Courier New" w:cs="Courier New"/>
          <w:b/>
          <w:color w:val="26282F"/>
        </w:rPr>
        <w:t>9 октября 2017 г.,15 января,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       </w:t>
      </w:r>
      <w:r>
        <w:rPr>
          <w:rFonts w:ascii="Courier New" w:eastAsia="Courier New" w:hAnsi="Courier New" w:cs="Courier New"/>
          <w:b/>
          <w:color w:val="26282F"/>
        </w:rPr>
        <w:t>10 декабря 2020 г.)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eastAsia="Courier New" w:hAnsi="Courier New" w:cs="Courier New"/>
        </w:rPr>
        <w:t>В___________________________________________________________________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(указывается наименование кадрового подразделения федерального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государственного органа,иного органа или организации)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                </w:t>
      </w:r>
      <w:r>
        <w:rPr>
          <w:rFonts w:ascii="Courier New" w:eastAsia="Courier New" w:hAnsi="Courier New" w:cs="Courier New"/>
          <w:b/>
          <w:color w:val="26282F"/>
        </w:rPr>
        <w:t>СПРАВКА</w:t>
      </w:r>
      <w:hyperlink r:id="rId44">
        <w:r>
          <w:rPr>
            <w:rFonts w:ascii="Courier New" w:eastAsia="Courier New" w:hAnsi="Courier New" w:cs="Courier New"/>
            <w:b/>
            <w:color w:val="106BBE"/>
            <w:u w:val="single"/>
          </w:rPr>
          <w:t>*(1)</w:t>
        </w:r>
      </w:hyperlink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>
        <w:rPr>
          <w:rFonts w:ascii="Courier New" w:eastAsia="Courier New" w:hAnsi="Courier New" w:cs="Courier New"/>
          <w:b/>
          <w:color w:val="26282F"/>
        </w:rPr>
        <w:t>о доходах, расходах, об имуществе и обязательства</w:t>
      </w:r>
      <w:r>
        <w:rPr>
          <w:rFonts w:ascii="Courier New" w:eastAsia="Courier New" w:hAnsi="Courier New" w:cs="Courier New"/>
          <w:b/>
          <w:color w:val="26282F"/>
        </w:rPr>
        <w:t>х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</w:t>
      </w:r>
      <w:r>
        <w:rPr>
          <w:rFonts w:ascii="Courier New" w:eastAsia="Courier New" w:hAnsi="Courier New" w:cs="Courier New"/>
          <w:b/>
          <w:color w:val="26282F"/>
        </w:rPr>
        <w:t>имущественного характера</w:t>
      </w:r>
      <w:hyperlink r:id="rId45">
        <w:r>
          <w:rPr>
            <w:rFonts w:ascii="Courier New" w:eastAsia="Courier New" w:hAnsi="Courier New" w:cs="Courier New"/>
            <w:b/>
            <w:color w:val="106BBE"/>
            <w:u w:val="single"/>
          </w:rPr>
          <w:t>*(2)</w:t>
        </w:r>
      </w:hyperlink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Я,_______________________________________________________________________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(фамилия, имя, отчество (при наличии), дата рождения, серия и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номер паспорта, дата выдачи и орган, вы</w:t>
      </w:r>
      <w:r>
        <w:rPr>
          <w:rFonts w:ascii="Courier New" w:eastAsia="Courier New" w:hAnsi="Courier New" w:cs="Courier New"/>
        </w:rPr>
        <w:t>давший паспорт, страховой номер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индивидуального лицевого счета (при наличии))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(место работы (службы), занимаемая (замещаемая) должность;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в случае отсутствия основного места работы (службы) - род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занятий; должность, на замещение которо</w:t>
      </w:r>
      <w:r>
        <w:rPr>
          <w:rFonts w:ascii="Courier New" w:eastAsia="Courier New" w:hAnsi="Courier New" w:cs="Courier New"/>
        </w:rPr>
        <w:t>й претендует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гражданин (если применимо)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зарегистрированный по адресу: __________________________________________,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(адрес места регистрации)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сообщаю   сведения  о  доходах,  расходах   своих,   с</w:t>
      </w:r>
      <w:r>
        <w:rPr>
          <w:rFonts w:ascii="Courier New" w:eastAsia="Courier New" w:hAnsi="Courier New" w:cs="Courier New"/>
        </w:rPr>
        <w:t>упруги   (супруга),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несовершеннолетнего ребенка (нужное подчеркнуть)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(фамилия, имя, отчество (при наличии) в именительном падеже, дата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eastAsia="Courier New" w:hAnsi="Courier New" w:cs="Courier New"/>
        </w:rPr>
        <w:t>рождения, серия и номер паспорта или свидетельства о рождении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(для несовершеннолетнего ребенка, не имеющего паспорта), дата выдачи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и орган, выдавший документ, страховой номер индивидуального лицевого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счета (при наличии))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</w:t>
      </w:r>
      <w:r>
        <w:rPr>
          <w:rFonts w:ascii="Courier New" w:eastAsia="Courier New" w:hAnsi="Courier New" w:cs="Courier New"/>
        </w:rPr>
        <w:t>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(адрес места регистрации, основное место работы (службы), занимаемая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(замещаемая) должность)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</w:t>
      </w:r>
      <w:r>
        <w:rPr>
          <w:rFonts w:ascii="Courier New" w:eastAsia="Courier New" w:hAnsi="Courier New" w:cs="Courier New"/>
        </w:rPr>
        <w:t>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(в случае отсутствия основного места работы (службы) - род занятий)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за   отчетный  период  с  1  </w:t>
      </w:r>
      <w:r>
        <w:rPr>
          <w:rFonts w:ascii="Courier New" w:eastAsia="Courier New" w:hAnsi="Courier New" w:cs="Courier New"/>
        </w:rPr>
        <w:t>января 20__  г. по 31 декабря 20__  г. об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имуществе, принадлежащем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_________________________________________________________________________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(фамилия, имя, отчество)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на праве собственности,  о вкладах   в   банках,   ценных   бума</w:t>
      </w:r>
      <w:r>
        <w:rPr>
          <w:rFonts w:ascii="Courier New" w:eastAsia="Courier New" w:hAnsi="Courier New" w:cs="Courier New"/>
        </w:rPr>
        <w:t>гах,   об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обязательствах имущественного характера по состоянию на"__"_________20 г.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*(1) Заполняется с использованием специального программного обеспечения "Справки БК", размещенного на </w:t>
      </w:r>
      <w:hyperlink r:id="rId4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официальном сайте</w:t>
        </w:r>
      </w:hyperlink>
      <w:r>
        <w:rPr>
          <w:rFonts w:ascii="Calibri" w:eastAsia="Calibri" w:hAnsi="Calibri" w:cs="Calibri"/>
        </w:rPr>
        <w:t xml:space="preserve"> Президента Российской Федерации, ссылка на который также размещается на </w:t>
      </w:r>
      <w:hyperlink r:id="rId4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официальном с</w:t>
        </w:r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айте</w:t>
        </w:r>
      </w:hyperlink>
      <w:r>
        <w:rPr>
          <w:rFonts w:ascii="Calibri" w:eastAsia="Calibri" w:hAnsi="Calibri" w:cs="Calibri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</w:t>
      </w:r>
      <w:r>
        <w:rPr>
          <w:rFonts w:ascii="Calibri" w:eastAsia="Calibri" w:hAnsi="Calibri" w:cs="Calibri"/>
        </w:rPr>
        <w:t>к на которые не допускается.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</w:t>
      </w:r>
      <w:r>
        <w:rPr>
          <w:rFonts w:ascii="Calibri" w:eastAsia="Calibri" w:hAnsi="Calibri" w:cs="Calibri"/>
        </w:rPr>
        <w:t>а супругу (супруга) и на каждого несовершеннолетнего ребенка.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1. Сведения о доходах</w:t>
      </w:r>
      <w:r>
        <w:rPr>
          <w:rFonts w:ascii="Times New Roman CYR" w:eastAsia="Times New Roman CYR" w:hAnsi="Times New Roman CYR" w:cs="Times New Roman CYR"/>
          <w:b/>
          <w:color w:val="26282F"/>
          <w:sz w:val="24"/>
          <w:vertAlign w:val="superscript"/>
        </w:rPr>
        <w:t> </w:t>
      </w:r>
      <w:hyperlink r:id="rId48">
        <w:r>
          <w:rPr>
            <w:rFonts w:ascii="Times New Roman CYR" w:eastAsia="Times New Roman CYR" w:hAnsi="Times New Roman CYR" w:cs="Times New Roman CYR"/>
            <w:b/>
            <w:color w:val="106BBE"/>
            <w:sz w:val="24"/>
            <w:u w:val="single"/>
            <w:vertAlign w:val="superscript"/>
          </w:rPr>
          <w:t>1</w:t>
        </w:r>
      </w:hyperlink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6218"/>
        <w:gridCol w:w="2206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 п/п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дохода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Величина дохода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49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2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(руб.)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 по основному месту работы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от педагогической и научной деятельности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 от иной творческой деятельности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 от вкладов в банках и иных кредитных организациях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доходы (указать вид дохода)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50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3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>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Итого доход за отчетный период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Указываются доходы (включая пенсии, пособия, иные выплаты) за отчетный период.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Доход, полученный в иностранной валюте, указывается в рублях по </w:t>
      </w:r>
      <w:hyperlink r:id="rId51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</w:t>
      </w:r>
      <w:r>
        <w:rPr>
          <w:rFonts w:ascii="Calibri" w:eastAsia="Calibri" w:hAnsi="Calibri" w:cs="Calibri"/>
        </w:rPr>
        <w:lastRenderedPageBreak/>
        <w:t>валюты, выраженной в иностранной валюте, в рубли по курсу Ба</w:t>
      </w:r>
      <w:r>
        <w:rPr>
          <w:rFonts w:ascii="Calibri" w:eastAsia="Calibri" w:hAnsi="Calibri" w:cs="Calibri"/>
        </w:rPr>
        <w:t>нка России, установленному на дату получения дохода.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 xml:space="preserve">3 </w:t>
      </w:r>
      <w:r>
        <w:rPr>
          <w:rFonts w:ascii="Calibri" w:eastAsia="Calibri" w:hAnsi="Calibri" w:cs="Calibri"/>
        </w:rPr>
        <w:t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</w:t>
      </w:r>
      <w:r>
        <w:rPr>
          <w:rFonts w:ascii="Calibri" w:eastAsia="Calibri" w:hAnsi="Calibri" w:cs="Calibri"/>
        </w:rPr>
        <w:t xml:space="preserve"> платформы) и вид цифровой валюты.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2. Сведения о расходах</w:t>
      </w:r>
      <w:r>
        <w:rPr>
          <w:rFonts w:ascii="Times New Roman CYR" w:eastAsia="Times New Roman CYR" w:hAnsi="Times New Roman CYR" w:cs="Times New Roman CYR"/>
          <w:b/>
          <w:color w:val="26282F"/>
          <w:sz w:val="24"/>
          <w:vertAlign w:val="superscript"/>
        </w:rPr>
        <w:t> </w:t>
      </w:r>
      <w:hyperlink r:id="rId52">
        <w:r>
          <w:rPr>
            <w:rFonts w:ascii="Times New Roman CYR" w:eastAsia="Times New Roman CYR" w:hAnsi="Times New Roman CYR" w:cs="Times New Roman CYR"/>
            <w:b/>
            <w:color w:val="106BBE"/>
            <w:sz w:val="24"/>
            <w:u w:val="single"/>
            <w:vertAlign w:val="superscript"/>
          </w:rPr>
          <w:t>1</w:t>
        </w:r>
      </w:hyperlink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516"/>
        <w:gridCol w:w="1307"/>
        <w:gridCol w:w="2424"/>
        <w:gridCol w:w="2228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приобретенного имущества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 сделки (руб.)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приобретения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53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2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Земельные участки: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Иное недвижимое имущество: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Транспортные средства: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Ценные бумаги: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Цифровые финансовые активы: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Цифровая валюта: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0"/>
        </w:rPr>
        <w:t xml:space="preserve"> Сведения о расходах представляются в случаях, установленных </w:t>
      </w:r>
      <w:hyperlink r:id="rId54">
        <w:r>
          <w:rPr>
            <w:rFonts w:ascii="Times New Roman CYR" w:eastAsia="Times New Roman CYR" w:hAnsi="Times New Roman CYR" w:cs="Times New Roman CYR"/>
            <w:b/>
            <w:color w:val="106BBE"/>
            <w:sz w:val="20"/>
            <w:u w:val="single"/>
          </w:rPr>
          <w:t>статьей 3</w:t>
        </w:r>
      </w:hyperlink>
      <w:r>
        <w:rPr>
          <w:rFonts w:ascii="Times New Roman CYR" w:eastAsia="Times New Roman CYR" w:hAnsi="Times New Roman CYR" w:cs="Times New Roman CYR"/>
          <w:sz w:val="20"/>
        </w:rPr>
        <w:t xml:space="preserve"> Федерального закона от 3 декабря 2012 г. N 230-</w:t>
      </w:r>
      <w:r>
        <w:rPr>
          <w:rFonts w:ascii="Times New Roman CYR" w:eastAsia="Times New Roman CYR" w:hAnsi="Times New Roman CYR" w:cs="Times New Roman CYR"/>
          <w:sz w:val="20"/>
        </w:rPr>
        <w:t>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2</w:t>
      </w:r>
      <w:r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>В отношении цифровых финансовых активов в качестве основания приобретения указываются ре</w:t>
      </w:r>
      <w:r>
        <w:rPr>
          <w:rFonts w:ascii="Times New Roman CYR" w:eastAsia="Times New Roman CYR" w:hAnsi="Times New Roman CYR" w:cs="Times New Roman CYR"/>
          <w:sz w:val="20"/>
        </w:rPr>
        <w:t>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lastRenderedPageBreak/>
        <w:t>В отношении цифровой валюты в качестве основания приобретения ука</w:t>
      </w:r>
      <w:r>
        <w:rPr>
          <w:rFonts w:ascii="Times New Roman CYR" w:eastAsia="Times New Roman CYR" w:hAnsi="Times New Roman CYR" w:cs="Times New Roman CYR"/>
          <w:sz w:val="20"/>
        </w:rPr>
        <w:t>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>В отношении сделок по приобретению цифровых финансовых активов и цифровой валюты к справке прилагаются документы (при их наличии),</w:t>
      </w:r>
      <w:r>
        <w:rPr>
          <w:rFonts w:ascii="Times New Roman CYR" w:eastAsia="Times New Roman CYR" w:hAnsi="Times New Roman CYR" w:cs="Times New Roman CYR"/>
          <w:sz w:val="20"/>
        </w:rPr>
        <w:t xml:space="preserve"> подтверждающие сумму сделки и (или) содержащие информацию о второй стороне сделки.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3. Сведения об имуществе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3.1. Недвижимое имущество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743"/>
        <w:gridCol w:w="2113"/>
        <w:gridCol w:w="2101"/>
        <w:gridCol w:w="1188"/>
        <w:gridCol w:w="1712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собственности</w:t>
            </w:r>
            <w:hyperlink r:id="rId55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*(1)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Площадь (кв.м)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приобр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етения и источник средств</w:t>
            </w:r>
            <w:hyperlink r:id="rId56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Земельные участки</w:t>
            </w:r>
            <w:hyperlink r:id="rId57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*(3)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>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Жилые дома, дачи: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Квартиры: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Гаражи: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Иное недвижимое имущество: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*(1) </w:t>
      </w:r>
      <w:r>
        <w:rPr>
          <w:rFonts w:ascii="Calibri" w:eastAsia="Calibri" w:hAnsi="Calibri" w:cs="Calibri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</w:t>
      </w:r>
      <w:r>
        <w:rPr>
          <w:rFonts w:ascii="Calibri" w:eastAsia="Calibri" w:hAnsi="Calibri" w:cs="Calibri"/>
        </w:rPr>
        <w:t>е которого представляются.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частью 1 статьи 4</w:t>
        </w:r>
      </w:hyperlink>
      <w:r>
        <w:rPr>
          <w:rFonts w:ascii="Calibri" w:eastAsia="Calibri" w:hAnsi="Calibri" w:cs="Calibri"/>
        </w:rPr>
        <w:t xml:space="preserve"> Федерального закона от 7 мая 2013 г. N 79-</w:t>
      </w:r>
      <w:r>
        <w:rPr>
          <w:rFonts w:ascii="Calibri" w:eastAsia="Calibri" w:hAnsi="Calibri" w:cs="Calibri"/>
        </w:rPr>
        <w:t xml:space="preserve">ФЗ "О запрете отдельным категориям лиц открывать и </w:t>
      </w:r>
      <w:r>
        <w:rPr>
          <w:rFonts w:ascii="Calibri" w:eastAsia="Calibri" w:hAnsi="Calibri" w:cs="Calibri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rPr>
          <w:rFonts w:ascii="Calibri" w:eastAsia="Calibri" w:hAnsi="Calibri" w:cs="Calibri"/>
        </w:rPr>
        <w:t>нструментами", источник получения средств, за счет которых приобретено имущество.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*(3)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3.2. Транспортные средства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285"/>
        <w:gridCol w:w="2244"/>
        <w:gridCol w:w="3088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собственности</w:t>
            </w:r>
            <w:hyperlink r:id="rId59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*(1)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 регистрации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Автомобили легковые: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Автомобили грузовые: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Мототранспортные средства: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Сельскохозяйственная техника: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Водный транспорт: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Воздушный транспорт: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транспортные средства: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*(1) </w:t>
      </w:r>
      <w:r>
        <w:rPr>
          <w:rFonts w:ascii="Calibri" w:eastAsia="Calibri" w:hAnsi="Calibri" w:cs="Calibri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</w:t>
      </w:r>
      <w:r>
        <w:rPr>
          <w:rFonts w:ascii="Calibri" w:eastAsia="Calibri" w:hAnsi="Calibri" w:cs="Calibri"/>
        </w:rPr>
        <w:t>о представляются.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3.3. Цифровые финансовые активы, цифровые права, включающие одновременно цифровые финансовые активы и иные цифровые права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357"/>
        <w:gridCol w:w="2048"/>
        <w:gridCol w:w="1716"/>
        <w:gridCol w:w="2711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цифрового финансового актива или цифрового права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60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приобретения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Общее количество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61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2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Fonts w:ascii="Times New Roman CYR" w:eastAsia="Times New Roman CYR" w:hAnsi="Times New Roman CYR" w:cs="Times New Roman CYR"/>
          <w:sz w:val="20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2</w:t>
      </w:r>
      <w:r>
        <w:rPr>
          <w:rFonts w:ascii="Times New Roman CYR" w:eastAsia="Times New Roman CYR" w:hAnsi="Times New Roman CYR" w:cs="Times New Roman CYR"/>
          <w:sz w:val="20"/>
        </w:rPr>
        <w:t xml:space="preserve"> Указываются наименование оператора информационной системы, в которой осу</w:t>
      </w:r>
      <w:r>
        <w:rPr>
          <w:rFonts w:ascii="Times New Roman CYR" w:eastAsia="Times New Roman CYR" w:hAnsi="Times New Roman CYR" w:cs="Times New Roman CYR"/>
          <w:sz w:val="20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Fonts w:ascii="Times New Roman CYR" w:eastAsia="Times New Roman CYR" w:hAnsi="Times New Roman CYR" w:cs="Times New Roman CYR"/>
          <w:sz w:val="20"/>
        </w:rPr>
        <w:t>й регистрационный номер).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3.4. Утилитарные цифровые права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234"/>
        <w:gridCol w:w="2194"/>
        <w:gridCol w:w="1811"/>
        <w:gridCol w:w="2535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 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Уникальное условное обозначение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62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приобретения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Объем инвестиций (руб.)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Сведения об опер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аторе инвестиционной платформы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63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2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0"/>
        </w:rPr>
        <w:t xml:space="preserve"> Указывается уникальное условное обозначение, идентифицирующее утилитарное цифровое право.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2</w:t>
      </w:r>
      <w:r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3.5. Цифровая валюта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814"/>
        <w:gridCol w:w="3264"/>
        <w:gridCol w:w="2694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N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Наименование цифровой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валюты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Дата приобретения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Общее количество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4. Сведения о счетах в банках и иных кредитных организациях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2593"/>
        <w:gridCol w:w="1567"/>
        <w:gridCol w:w="1227"/>
        <w:gridCol w:w="1161"/>
        <w:gridCol w:w="2113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и валюта счета</w:t>
            </w:r>
            <w:hyperlink r:id="rId64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*(1)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Остаток на счете</w:t>
            </w:r>
            <w:hyperlink r:id="rId65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 поступивших на счет денежных средств</w:t>
            </w:r>
            <w:hyperlink r:id="rId66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*(3)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(руб.)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*(1) Указываются вид счета (депозитный, текущий, расчетный и другие) и валюта счета.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*(2) Остаток на счете указывается по состоянию на отчетную дату. Для счетов в иностранной валюте остаток указывается в рублях по </w:t>
      </w:r>
      <w:hyperlink r:id="rId6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Банка России на отчетную дату.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*(3) </w:t>
      </w:r>
      <w:r>
        <w:rPr>
          <w:rFonts w:ascii="Calibri" w:eastAsia="Calibri" w:hAnsi="Calibri" w:cs="Calibri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</w:t>
      </w:r>
      <w:r>
        <w:rPr>
          <w:rFonts w:ascii="Calibri" w:eastAsia="Calibri" w:hAnsi="Calibri" w:cs="Calibri"/>
        </w:rPr>
        <w:t xml:space="preserve">нии денежных средств по данному счету за отчетный период. Для счетов в иностранной валюте сумма указывается в рублях по </w:t>
      </w:r>
      <w:hyperlink r:id="rId6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Банка России на отчетную дату. Выписка о движении денежных</w:t>
      </w:r>
      <w:r>
        <w:rPr>
          <w:rFonts w:ascii="Calibri" w:eastAsia="Calibri" w:hAnsi="Calibri" w:cs="Calibri"/>
        </w:rPr>
        <w:t xml:space="preserve"> средств по расчетному счету индивидуального предпринимателя не прилагается.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5. Сведения о ценных бумагах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5.1. Акции и иное участие в коммерческих организациях и фондах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116"/>
        <w:gridCol w:w="2101"/>
        <w:gridCol w:w="1663"/>
        <w:gridCol w:w="1193"/>
        <w:gridCol w:w="1758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и организационно-правовая форма организации</w:t>
            </w:r>
            <w:hyperlink r:id="rId69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*(1)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Уставный</w:t>
            </w:r>
            <w:hyperlink r:id="rId70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Доля </w:t>
            </w:r>
            <w:hyperlink r:id="rId71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*(3)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</w:t>
            </w:r>
            <w:hyperlink r:id="rId72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 xml:space="preserve">*(4) 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>участия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*(1) </w:t>
      </w:r>
      <w:r>
        <w:rPr>
          <w:rFonts w:ascii="Calibri" w:eastAsia="Calibri" w:hAnsi="Calibri" w:cs="Calibri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*(2) </w:t>
      </w:r>
      <w:r>
        <w:rPr>
          <w:rFonts w:ascii="Calibri" w:eastAsia="Calibri" w:hAnsi="Calibri" w:cs="Calibri"/>
        </w:rP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73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Банка России на отчетную дату.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*(4) Указываются основание приобретения доли участи</w:t>
      </w:r>
      <w:r>
        <w:rPr>
          <w:rFonts w:ascii="Calibri" w:eastAsia="Calibri" w:hAnsi="Calibri" w:cs="Calibri"/>
        </w:rPr>
        <w:t>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5.2. Иные ценные бумаги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557"/>
        <w:gridCol w:w="1760"/>
        <w:gridCol w:w="1919"/>
        <w:gridCol w:w="1657"/>
        <w:gridCol w:w="1828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ценной бумаги</w:t>
            </w:r>
            <w:hyperlink r:id="rId74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*(1)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Общая стоимость</w:t>
            </w:r>
            <w:hyperlink r:id="rId75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(руб.)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Итого по </w:t>
      </w:r>
      <w:hyperlink r:id="rId76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разделу 5</w:t>
        </w:r>
      </w:hyperlink>
      <w:r>
        <w:rPr>
          <w:rFonts w:ascii="Calibri" w:eastAsia="Calibri" w:hAnsi="Calibri" w:cs="Calibri"/>
        </w:rPr>
        <w:t xml:space="preserve"> "</w:t>
      </w:r>
      <w:r>
        <w:rPr>
          <w:rFonts w:ascii="Calibri" w:eastAsia="Calibri" w:hAnsi="Calibri" w:cs="Calibri"/>
        </w:rPr>
        <w:t>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*(1) Указываются все ценные бумаги по видам (облигации,</w:t>
      </w:r>
      <w:r>
        <w:rPr>
          <w:rFonts w:ascii="Calibri" w:eastAsia="Calibri" w:hAnsi="Calibri" w:cs="Calibri"/>
        </w:rPr>
        <w:t xml:space="preserve"> векселя и другие), за исключением акций, указанных в </w:t>
      </w:r>
      <w:hyperlink r:id="rId77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подр</w:t>
        </w:r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азделе 5.1</w:t>
        </w:r>
      </w:hyperlink>
      <w:r>
        <w:rPr>
          <w:rFonts w:ascii="Calibri" w:eastAsia="Calibri" w:hAnsi="Calibri" w:cs="Calibri"/>
        </w:rPr>
        <w:t xml:space="preserve"> "Акции и иное участие в коммерческих организациях и фондах".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*(2)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</w:t>
      </w:r>
      <w:r>
        <w:rPr>
          <w:rFonts w:ascii="Calibri" w:eastAsia="Calibri" w:hAnsi="Calibri" w:cs="Calibri"/>
        </w:rPr>
        <w:t xml:space="preserve"> обязательств, выраженных в иностранной валюте, стоимость указывается в рублях по </w:t>
      </w:r>
      <w:hyperlink r:id="rId78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Банка России на отчетную дату.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6. Сведения об обязательствах имущественного характера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.1. Объекты недвижимого имущества, находящиеся в пользовании</w:t>
      </w:r>
      <w:hyperlink r:id="rId79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*(1)</w:t>
        </w:r>
      </w:hyperlink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5"/>
        <w:gridCol w:w="1780"/>
        <w:gridCol w:w="1843"/>
        <w:gridCol w:w="2101"/>
        <w:gridCol w:w="1324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</w:t>
            </w:r>
            <w:hyperlink r:id="rId80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и сроки</w:t>
            </w:r>
            <w:hyperlink r:id="rId81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*(3)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</w:t>
            </w:r>
            <w:hyperlink r:id="rId82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*(4)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Площадь (кв.м)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*(1) Указываются по состоянию на отчетную дату.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*(2) Указывается вид недвижимого имущества (земельный участок, жилой дом, дача и другие).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*(3) Указываются вид пользования (аренда, безвозмездное пользование и другие) и сроки</w:t>
      </w:r>
      <w:r>
        <w:rPr>
          <w:rFonts w:ascii="Calibri" w:eastAsia="Calibri" w:hAnsi="Calibri" w:cs="Calibri"/>
        </w:rPr>
        <w:t xml:space="preserve"> пользования.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6.2. Срочные обязательства финансового характера</w:t>
      </w:r>
      <w:hyperlink r:id="rId83">
        <w:r>
          <w:rPr>
            <w:rFonts w:ascii="Times New Roman CYR" w:eastAsia="Times New Roman CYR" w:hAnsi="Times New Roman CYR" w:cs="Times New Roman CYR"/>
            <w:b/>
            <w:color w:val="106BBE"/>
            <w:sz w:val="24"/>
            <w:u w:val="single"/>
          </w:rPr>
          <w:t>*(1)</w:t>
        </w:r>
      </w:hyperlink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991"/>
        <w:gridCol w:w="1636"/>
        <w:gridCol w:w="1711"/>
        <w:gridCol w:w="1602"/>
        <w:gridCol w:w="1991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</w:p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обязательства</w:t>
            </w:r>
            <w:hyperlink r:id="rId84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*(2)</w:t>
              </w:r>
            </w:hyperlink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Кредитор (должник)</w:t>
            </w:r>
            <w:hyperlink r:id="rId85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*(3)</w:t>
              </w:r>
            </w:hyperlink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</w:t>
            </w:r>
            <w:hyperlink r:id="rId86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 xml:space="preserve">*(4) 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>возникновения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Сумма обязательства размер обязательства по состоянию на отчетную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дату</w:t>
            </w:r>
            <w:hyperlink r:id="rId87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*(5)</w:t>
              </w:r>
            </w:hyperlink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Условия обязательства</w:t>
            </w:r>
            <w:hyperlink r:id="rId88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</w:rPr>
                <w:t>*(6)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/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/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/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996AD7">
      <w:pPr>
        <w:rPr>
          <w:rFonts w:ascii="Times New Roman CYR" w:eastAsia="Times New Roman CYR" w:hAnsi="Times New Roman CYR" w:cs="Times New Roman CYR"/>
        </w:rPr>
      </w:pP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*(1) </w:t>
      </w:r>
      <w:r>
        <w:rPr>
          <w:rFonts w:ascii="Calibri" w:eastAsia="Calibri" w:hAnsi="Calibri" w:cs="Calibri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*(2) Указывается сущест</w:t>
      </w:r>
      <w:r>
        <w:rPr>
          <w:rFonts w:ascii="Calibri" w:eastAsia="Calibri" w:hAnsi="Calibri" w:cs="Calibri"/>
        </w:rPr>
        <w:t>во обязательства (заем, кредит и другие).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*(4) Указываются основание возникновения обязательства, а также реквизиты (д</w:t>
      </w:r>
      <w:r>
        <w:rPr>
          <w:rFonts w:ascii="Calibri" w:eastAsia="Calibri" w:hAnsi="Calibri" w:cs="Calibri"/>
        </w:rPr>
        <w:t>ата, номер) соответствующего договора или акта.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*(5)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89">
        <w:r>
          <w:rPr>
            <w:rFonts w:ascii="Times New Roman CYR" w:eastAsia="Times New Roman CYR" w:hAnsi="Times New Roman CYR" w:cs="Times New Roman CYR"/>
            <w:b/>
            <w:color w:val="106BBE"/>
            <w:u w:val="single"/>
          </w:rPr>
          <w:t>курсу</w:t>
        </w:r>
      </w:hyperlink>
      <w:r>
        <w:rPr>
          <w:rFonts w:ascii="Calibri" w:eastAsia="Calibri" w:hAnsi="Calibri" w:cs="Calibri"/>
        </w:rPr>
        <w:t xml:space="preserve"> Банка России на отчетную дату.</w:t>
      </w:r>
    </w:p>
    <w:p w:rsidR="00996AD7" w:rsidRDefault="008A2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</w:t>
      </w:r>
      <w:r>
        <w:rPr>
          <w:rFonts w:ascii="Calibri" w:eastAsia="Calibri" w:hAnsi="Calibri" w:cs="Calibri"/>
        </w:rPr>
        <w:t>ии и поручительства.</w:t>
      </w:r>
    </w:p>
    <w:p w:rsidR="00996AD7" w:rsidRDefault="00996AD7">
      <w:pPr>
        <w:rPr>
          <w:rFonts w:ascii="Calibri" w:eastAsia="Calibri" w:hAnsi="Calibri" w:cs="Calibri"/>
        </w:rPr>
      </w:pPr>
    </w:p>
    <w:p w:rsidR="00996AD7" w:rsidRDefault="008A2BD3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rPr>
          <w:rFonts w:ascii="Times New Roman CYR" w:eastAsia="Times New Roman CYR" w:hAnsi="Times New Roman CYR" w:cs="Times New Roman CYR"/>
          <w:b/>
          <w:color w:val="26282F"/>
          <w:sz w:val="24"/>
        </w:rPr>
        <w:t>ужденных в течение отчетного периода в результате безвозмездной сделки</w:t>
      </w:r>
    </w:p>
    <w:p w:rsidR="00996AD7" w:rsidRDefault="00996AD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565"/>
        <w:gridCol w:w="2193"/>
        <w:gridCol w:w="727"/>
        <w:gridCol w:w="1753"/>
        <w:gridCol w:w="882"/>
        <w:gridCol w:w="1910"/>
        <w:gridCol w:w="875"/>
      </w:tblGrid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N п/п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Вид имущества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Приобретатель имущества (права) по сделке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90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отчуждения имущества (права)</w:t>
            </w:r>
            <w:r>
              <w:rPr>
                <w:rFonts w:ascii="Times New Roman CYR" w:eastAsia="Times New Roman CYR" w:hAnsi="Times New Roman CYR" w:cs="Times New Roman CYR"/>
                <w:sz w:val="24"/>
                <w:vertAlign w:val="superscript"/>
              </w:rPr>
              <w:t> </w:t>
            </w:r>
            <w:hyperlink r:id="rId91">
              <w:r>
                <w:rPr>
                  <w:rFonts w:ascii="Times New Roman CYR" w:eastAsia="Times New Roman CYR" w:hAnsi="Times New Roman CYR" w:cs="Times New Roman CYR"/>
                  <w:b/>
                  <w:color w:val="106BBE"/>
                  <w:sz w:val="24"/>
                  <w:u w:val="single"/>
                  <w:vertAlign w:val="superscript"/>
                </w:rPr>
                <w:t>2</w:t>
              </w:r>
            </w:hyperlink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Земельные участки: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Иное недвижимое имущество: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3)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3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Транспортные средства: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Ценные бумаги: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Цифровые финансовые активы: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gridAfter w:val="1"/>
          <w:wAfter w:w="1779" w:type="dxa"/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gridAfter w:val="1"/>
          <w:wAfter w:w="1779" w:type="dxa"/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Утилитарные цифровые права: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996AD7">
        <w:tblPrEx>
          <w:tblCellMar>
            <w:top w:w="0" w:type="dxa"/>
            <w:bottom w:w="0" w:type="dxa"/>
          </w:tblCellMar>
        </w:tblPrEx>
        <w:trPr>
          <w:gridAfter w:val="1"/>
          <w:wAfter w:w="1779" w:type="dxa"/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8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Цифровая валюта: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1)</w:t>
            </w:r>
          </w:p>
          <w:p w:rsidR="00996AD7" w:rsidRDefault="008A2BD3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2)</w:t>
            </w:r>
          </w:p>
          <w:p w:rsidR="00996AD7" w:rsidRDefault="008A2BD3">
            <w:pPr>
              <w:spacing w:after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AD7" w:rsidRDefault="00996AD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Fonts w:ascii="Times New Roman CYR" w:eastAsia="Times New Roman CYR" w:hAnsi="Times New Roman CYR" w:cs="Times New Roman CYR"/>
          <w:sz w:val="20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96AD7" w:rsidRDefault="008A2BD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  <w:vertAlign w:val="superscript"/>
        </w:rPr>
        <w:t>2</w:t>
      </w:r>
      <w:r>
        <w:rPr>
          <w:rFonts w:ascii="Times New Roman CYR" w:eastAsia="Times New Roman CYR" w:hAnsi="Times New Roman CYR" w:cs="Times New Roman CYR"/>
          <w:sz w:val="20"/>
        </w:rPr>
        <w:t xml:space="preserve"> Указываются основания прекращения права собственности или цифрового права (наимен</w:t>
      </w:r>
      <w:r>
        <w:rPr>
          <w:rFonts w:ascii="Times New Roman CYR" w:eastAsia="Times New Roman CYR" w:hAnsi="Times New Roman CYR" w:cs="Times New Roman CYR"/>
          <w:sz w:val="20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Достоверность и полноту настоящих сведений под</w:t>
      </w:r>
      <w:r>
        <w:rPr>
          <w:rFonts w:ascii="Courier New" w:eastAsia="Courier New" w:hAnsi="Courier New" w:cs="Courier New"/>
        </w:rPr>
        <w:t>тверждаю.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"____"___________20___г .________________________________________________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           (подпись лица, представляющего сведения)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</w:p>
    <w:p w:rsidR="00996AD7" w:rsidRDefault="008A2BD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(</w:t>
      </w:r>
      <w:r>
        <w:rPr>
          <w:rFonts w:ascii="Courier New" w:eastAsia="Courier New" w:hAnsi="Courier New" w:cs="Courier New"/>
        </w:rPr>
        <w:t>Ф.И.О. и подпись лица, принявшего справку)</w:t>
      </w:r>
    </w:p>
    <w:p w:rsidR="00996AD7" w:rsidRDefault="00996AD7">
      <w:pPr>
        <w:rPr>
          <w:rFonts w:ascii="Calibri" w:eastAsia="Calibri" w:hAnsi="Calibri" w:cs="Calibri"/>
          <w:sz w:val="24"/>
        </w:rPr>
      </w:pPr>
    </w:p>
    <w:p w:rsidR="00996AD7" w:rsidRDefault="00996AD7">
      <w:pPr>
        <w:rPr>
          <w:rFonts w:ascii="Calibri" w:eastAsia="Calibri" w:hAnsi="Calibri" w:cs="Calibri"/>
        </w:rPr>
      </w:pPr>
    </w:p>
    <w:sectPr w:rsidR="009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7"/>
    <w:rsid w:val="008A2BD3"/>
    <w:rsid w:val="009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7751767/0" TargetMode="External"/><Relationship Id="rId18" Type="http://schemas.openxmlformats.org/officeDocument/2006/relationships/hyperlink" Target="http://internet.garant.ru/document/redirect/195553/1000" TargetMode="External"/><Relationship Id="rId26" Type="http://schemas.openxmlformats.org/officeDocument/2006/relationships/hyperlink" Target="http://internet.garant.ru/document/redirect/195554/1003" TargetMode="External"/><Relationship Id="rId39" Type="http://schemas.openxmlformats.org/officeDocument/2006/relationships/hyperlink" Target="http://internet.garant.ru/document/redirect/70350272/91" TargetMode="External"/><Relationship Id="rId21" Type="http://schemas.openxmlformats.org/officeDocument/2006/relationships/hyperlink" Target="http://internet.garant.ru/document/redirect/195553/99926" TargetMode="External"/><Relationship Id="rId34" Type="http://schemas.openxmlformats.org/officeDocument/2006/relationships/hyperlink" Target="http://internet.garant.ru/document/redirect/70350274/5" TargetMode="External"/><Relationship Id="rId42" Type="http://schemas.openxmlformats.org/officeDocument/2006/relationships/hyperlink" Target="http://internet.garant.ru/document/redirect/403312738/0" TargetMode="External"/><Relationship Id="rId47" Type="http://schemas.openxmlformats.org/officeDocument/2006/relationships/hyperlink" Target="http://internet.garant.ru/document/redirect/990941/267462667" TargetMode="External"/><Relationship Id="rId5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5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3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8" Type="http://schemas.openxmlformats.org/officeDocument/2006/relationships/hyperlink" Target="http://internet.garant.ru/document/redirect/555501/0" TargetMode="External"/><Relationship Id="rId76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4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9" Type="http://schemas.openxmlformats.org/officeDocument/2006/relationships/hyperlink" Target="http://internet.garant.ru/document/redirect/107917/0" TargetMode="External"/><Relationship Id="rId7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1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95553/0" TargetMode="External"/><Relationship Id="rId29" Type="http://schemas.openxmlformats.org/officeDocument/2006/relationships/hyperlink" Target="http://internet.garant.ru/document/redirect/70350274/0" TargetMode="External"/><Relationship Id="rId11" Type="http://schemas.openxmlformats.org/officeDocument/2006/relationships/hyperlink" Target="http://internet.garant.ru/document/redirect/990941/1392" TargetMode="External"/><Relationship Id="rId24" Type="http://schemas.openxmlformats.org/officeDocument/2006/relationships/hyperlink" Target="http://internet.garant.ru/document/redirect/195554/0" TargetMode="External"/><Relationship Id="rId32" Type="http://schemas.openxmlformats.org/officeDocument/2006/relationships/hyperlink" Target="http://internet.garant.ru/document/redirect/70350274/3" TargetMode="External"/><Relationship Id="rId37" Type="http://schemas.openxmlformats.org/officeDocument/2006/relationships/hyperlink" Target="http://internet.garant.ru/document/redirect/70350272/0" TargetMode="External"/><Relationship Id="rId40" Type="http://schemas.openxmlformats.org/officeDocument/2006/relationships/hyperlink" Target="http://internet.garant.ru/document/redirect/75031844/2006" TargetMode="External"/><Relationship Id="rId45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3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8" Type="http://schemas.openxmlformats.org/officeDocument/2006/relationships/hyperlink" Target="http://internet.garant.ru/document/redirect/70372954/41" TargetMode="External"/><Relationship Id="rId66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4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9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7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" Type="http://schemas.openxmlformats.org/officeDocument/2006/relationships/hyperlink" Target="http://internet.garant.ru/document/redirect/12164203/0" TargetMode="External"/><Relationship Id="rId61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2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9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19" Type="http://schemas.openxmlformats.org/officeDocument/2006/relationships/hyperlink" Target="http://internet.garant.ru/document/redirect/195553/1003" TargetMode="External"/><Relationship Id="rId14" Type="http://schemas.openxmlformats.org/officeDocument/2006/relationships/hyperlink" Target="http://internet.garant.ru/document/redirect/195553/0" TargetMode="External"/><Relationship Id="rId22" Type="http://schemas.openxmlformats.org/officeDocument/2006/relationships/hyperlink" Target="http://internet.garant.ru/document/redirect/195554/0" TargetMode="External"/><Relationship Id="rId27" Type="http://schemas.openxmlformats.org/officeDocument/2006/relationships/hyperlink" Target="http://internet.garant.ru/document/redirect/195555/0" TargetMode="External"/><Relationship Id="rId30" Type="http://schemas.openxmlformats.org/officeDocument/2006/relationships/hyperlink" Target="http://internet.garant.ru/document/redirect/70350274/1" TargetMode="External"/><Relationship Id="rId35" Type="http://schemas.openxmlformats.org/officeDocument/2006/relationships/hyperlink" Target="http://internet.garant.ru/document/redirect/70350274/6" TargetMode="External"/><Relationship Id="rId43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48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6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4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9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7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" Type="http://schemas.openxmlformats.org/officeDocument/2006/relationships/hyperlink" Target="http://internet.garant.ru/document/redirect/73404211/41" TargetMode="External"/><Relationship Id="rId51" Type="http://schemas.openxmlformats.org/officeDocument/2006/relationships/hyperlink" Target="http://internet.garant.ru/document/redirect/555501/0" TargetMode="External"/><Relationship Id="rId72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5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990941/267462667" TargetMode="External"/><Relationship Id="rId17" Type="http://schemas.openxmlformats.org/officeDocument/2006/relationships/hyperlink" Target="http://internet.garant.ru/document/redirect/195553/0" TargetMode="External"/><Relationship Id="rId25" Type="http://schemas.openxmlformats.org/officeDocument/2006/relationships/hyperlink" Target="http://internet.garant.ru/document/redirect/195554/0" TargetMode="External"/><Relationship Id="rId33" Type="http://schemas.openxmlformats.org/officeDocument/2006/relationships/hyperlink" Target="http://internet.garant.ru/document/redirect/70350274/4" TargetMode="External"/><Relationship Id="rId38" Type="http://schemas.openxmlformats.org/officeDocument/2006/relationships/hyperlink" Target="http://internet.garant.ru/document/redirect/70350272/9" TargetMode="External"/><Relationship Id="rId46" Type="http://schemas.openxmlformats.org/officeDocument/2006/relationships/hyperlink" Target="http://internet.garant.ru/document/redirect/990941/1392" TargetMode="External"/><Relationship Id="rId59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7" Type="http://schemas.openxmlformats.org/officeDocument/2006/relationships/hyperlink" Target="http://internet.garant.ru/document/redirect/107917/0" TargetMode="External"/><Relationship Id="rId20" Type="http://schemas.openxmlformats.org/officeDocument/2006/relationships/hyperlink" Target="http://internet.garant.ru/document/redirect/195553/10042" TargetMode="External"/><Relationship Id="rId41" Type="http://schemas.openxmlformats.org/officeDocument/2006/relationships/hyperlink" Target="http://internet.garant.ru/document/redirect/77706522/1000" TargetMode="External"/><Relationship Id="rId54" Type="http://schemas.openxmlformats.org/officeDocument/2006/relationships/hyperlink" Target="http://internet.garant.ru/document/redirect/70271682/3" TargetMode="External"/><Relationship Id="rId62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5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3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8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91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71682/0" TargetMode="External"/><Relationship Id="rId15" Type="http://schemas.openxmlformats.org/officeDocument/2006/relationships/hyperlink" Target="http://internet.garant.ru/document/redirect/195553/1000" TargetMode="External"/><Relationship Id="rId23" Type="http://schemas.openxmlformats.org/officeDocument/2006/relationships/hyperlink" Target="http://internet.garant.ru/document/redirect/195554/1000" TargetMode="External"/><Relationship Id="rId28" Type="http://schemas.openxmlformats.org/officeDocument/2006/relationships/hyperlink" Target="http://internet.garant.ru/document/redirect/195555/1" TargetMode="External"/><Relationship Id="rId36" Type="http://schemas.openxmlformats.org/officeDocument/2006/relationships/hyperlink" Target="http://internet.garant.ru/document/redirect/70350274/8" TargetMode="External"/><Relationship Id="rId49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7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1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31" Type="http://schemas.openxmlformats.org/officeDocument/2006/relationships/hyperlink" Target="http://internet.garant.ru/document/redirect/70350274/2" TargetMode="External"/><Relationship Id="rId44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52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0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65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73" Type="http://schemas.openxmlformats.org/officeDocument/2006/relationships/hyperlink" Target="http://internet.garant.ru/document/redirect/107917/0" TargetMode="External"/><Relationship Id="rId78" Type="http://schemas.openxmlformats.org/officeDocument/2006/relationships/hyperlink" Target="http://internet.garant.ru/document/redirect/107917/0" TargetMode="External"/><Relationship Id="rId81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86" Type="http://schemas.openxmlformats.org/officeDocument/2006/relationships/hyperlink" Target="file://C:\Users\&#1051;&#1102;&#1073;&#1086;&#1072;&#1100;\Downloads\spravki-o-dohodah-rashodah-ob-imuschestve-i-objazatelstvah-imuschestvennogo-haraktera-i-vnesenie-izmenenii-v-nekotorye-akty-prezidenta-rf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7691428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2022-04-06T08:26:00Z</dcterms:created>
  <dcterms:modified xsi:type="dcterms:W3CDTF">2022-04-06T08:26:00Z</dcterms:modified>
</cp:coreProperties>
</file>